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AAE" w:rsidRPr="00E72174" w:rsidRDefault="00861AAE" w:rsidP="00543AAE">
      <w:pPr>
        <w:ind w:firstLine="709"/>
        <w:jc w:val="center"/>
        <w:rPr>
          <w:b/>
          <w:u w:val="single"/>
        </w:rPr>
      </w:pPr>
      <w:r w:rsidRPr="00E72174">
        <w:rPr>
          <w:b/>
          <w:u w:val="single"/>
        </w:rPr>
        <w:t>Аннотация</w:t>
      </w:r>
    </w:p>
    <w:p w:rsidR="00861AAE" w:rsidRPr="00225460" w:rsidRDefault="00861AAE" w:rsidP="00543AAE">
      <w:pPr>
        <w:ind w:firstLine="709"/>
        <w:jc w:val="center"/>
        <w:rPr>
          <w:b/>
        </w:rPr>
      </w:pPr>
      <w:r w:rsidRPr="00E72174">
        <w:rPr>
          <w:b/>
          <w:u w:val="single"/>
        </w:rPr>
        <w:t xml:space="preserve">к рабочей программе </w:t>
      </w:r>
      <w:r>
        <w:rPr>
          <w:b/>
          <w:u w:val="single"/>
        </w:rPr>
        <w:t>профессионального модуля</w:t>
      </w:r>
    </w:p>
    <w:p w:rsidR="00861AAE" w:rsidRPr="00861AAE" w:rsidRDefault="00861AAE" w:rsidP="00543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b/>
          <w:szCs w:val="28"/>
        </w:rPr>
      </w:pPr>
      <w:r w:rsidRPr="00861AAE">
        <w:rPr>
          <w:b/>
          <w:szCs w:val="28"/>
        </w:rPr>
        <w:t>ПМ.</w:t>
      </w:r>
      <w:r w:rsidRPr="00861AAE">
        <w:rPr>
          <w:b/>
          <w:bCs/>
          <w:szCs w:val="28"/>
        </w:rPr>
        <w:t xml:space="preserve"> 01 Управление ассортиментом товаров</w:t>
      </w:r>
    </w:p>
    <w:p w:rsidR="00861AAE" w:rsidRDefault="00861AAE" w:rsidP="00543AAE">
      <w:pPr>
        <w:ind w:firstLine="709"/>
        <w:jc w:val="center"/>
        <w:rPr>
          <w:b/>
          <w:u w:val="single"/>
        </w:rPr>
      </w:pPr>
    </w:p>
    <w:p w:rsidR="00861AAE" w:rsidRDefault="00861AAE" w:rsidP="006866EA">
      <w:pPr>
        <w:ind w:firstLine="567"/>
        <w:jc w:val="both"/>
        <w:rPr>
          <w:b/>
        </w:rPr>
      </w:pPr>
      <w:r w:rsidRPr="00E12F26">
        <w:rPr>
          <w:b/>
        </w:rPr>
        <w:t xml:space="preserve">1. Место </w:t>
      </w:r>
      <w:r>
        <w:rPr>
          <w:b/>
        </w:rPr>
        <w:t>ПМ</w:t>
      </w:r>
      <w:r w:rsidRPr="00E12F26">
        <w:rPr>
          <w:b/>
        </w:rPr>
        <w:t xml:space="preserve"> в структуре основной профессиональной образовательной программы (ОПОП)</w:t>
      </w:r>
    </w:p>
    <w:p w:rsidR="00861AAE" w:rsidRPr="00E848E8" w:rsidRDefault="00861AAE" w:rsidP="006866EA">
      <w:pPr>
        <w:spacing w:line="276" w:lineRule="auto"/>
        <w:ind w:firstLine="567"/>
        <w:jc w:val="both"/>
      </w:pPr>
      <w:r w:rsidRPr="008D5B55">
        <w:t xml:space="preserve">Рабочая программа профессионального модуля является частью </w:t>
      </w:r>
      <w:r>
        <w:t>программы подготовки специалистов среднего звена</w:t>
      </w:r>
      <w:r w:rsidRPr="008D5B55">
        <w:t xml:space="preserve">, разработанной в соответствии с ФГОС </w:t>
      </w:r>
      <w:r>
        <w:t xml:space="preserve">СПО </w:t>
      </w:r>
      <w:r w:rsidRPr="008D5B55">
        <w:t xml:space="preserve">по специальности </w:t>
      </w:r>
      <w:r w:rsidRPr="00E848E8">
        <w:t>СПО 38.02.05 «Товароведение и экспертиза качества потребительских товаров» (укрупненная группа специальностей 38.00.00 «Экономика и управление» в части освоения основного вида профессиональной деятельности (ВПД): товаровед-эксперт и соответствующих профессиональных компетенций (ПК):</w:t>
      </w:r>
    </w:p>
    <w:p w:rsidR="00861AAE" w:rsidRDefault="00861AAE" w:rsidP="006866EA">
      <w:pPr>
        <w:ind w:firstLine="567"/>
        <w:jc w:val="both"/>
        <w:rPr>
          <w:b/>
        </w:rPr>
      </w:pPr>
      <w:r w:rsidRPr="00E12F26">
        <w:rPr>
          <w:b/>
        </w:rPr>
        <w:t xml:space="preserve">2. Цель </w:t>
      </w:r>
      <w:r>
        <w:rPr>
          <w:b/>
        </w:rPr>
        <w:t>освоения ПМ</w:t>
      </w:r>
    </w:p>
    <w:p w:rsidR="00861AAE" w:rsidRDefault="00861AAE" w:rsidP="006866EA">
      <w:pPr>
        <w:ind w:firstLine="567"/>
        <w:jc w:val="both"/>
      </w:pPr>
      <w:r>
        <w:t xml:space="preserve">Освоение </w:t>
      </w:r>
      <w:proofErr w:type="gramStart"/>
      <w:r>
        <w:t xml:space="preserve">ПМ </w:t>
      </w:r>
      <w:r w:rsidRPr="008D5B55">
        <w:t xml:space="preserve"> </w:t>
      </w:r>
      <w:r w:rsidRPr="002B0576">
        <w:t>направлено</w:t>
      </w:r>
      <w:proofErr w:type="gramEnd"/>
      <w:r w:rsidRPr="002B0576">
        <w:t xml:space="preserve"> на формирование</w:t>
      </w:r>
      <w:r w:rsidRPr="00D67745">
        <w:t xml:space="preserve"> </w:t>
      </w:r>
      <w:r w:rsidRPr="007947A0">
        <w:t>профессиональных (</w:t>
      </w:r>
      <w:r>
        <w:t>ПК 1.1 – ПК 1.4</w:t>
      </w:r>
      <w:r w:rsidRPr="007947A0">
        <w:t>)</w:t>
      </w:r>
      <w:r w:rsidR="001C7D4C">
        <w:t>,</w:t>
      </w:r>
      <w:r>
        <w:t xml:space="preserve"> общих (ОК 1 – ОК 9)</w:t>
      </w:r>
      <w:r w:rsidRPr="007947A0">
        <w:t xml:space="preserve"> </w:t>
      </w:r>
      <w:r w:rsidRPr="008D5B55">
        <w:t>компетенций</w:t>
      </w:r>
      <w:r w:rsidR="001C7D4C">
        <w:t xml:space="preserve"> и </w:t>
      </w:r>
      <w:r w:rsidR="001C7D4C" w:rsidRPr="001C7D4C">
        <w:t xml:space="preserve"> личностных результатов реализации программы воспитания (ЛР1 –</w:t>
      </w:r>
      <w:r w:rsidR="00694828">
        <w:t xml:space="preserve"> </w:t>
      </w:r>
      <w:r w:rsidR="001C7D4C" w:rsidRPr="001C7D4C">
        <w:t>ЛР2</w:t>
      </w:r>
      <w:r w:rsidR="006C4EDB">
        <w:t>2</w:t>
      </w:r>
      <w:r w:rsidR="001C7D4C" w:rsidRPr="001C7D4C">
        <w:t>)</w:t>
      </w:r>
    </w:p>
    <w:p w:rsidR="00861AAE" w:rsidRDefault="00861AAE" w:rsidP="006866EA">
      <w:pPr>
        <w:pStyle w:val="1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 xml:space="preserve">. Требования к результатам освоения </w:t>
      </w:r>
      <w:r>
        <w:rPr>
          <w:rFonts w:ascii="Times New Roman" w:hAnsi="Times New Roman"/>
          <w:b/>
          <w:sz w:val="24"/>
          <w:szCs w:val="24"/>
        </w:rPr>
        <w:t>ПМ</w:t>
      </w:r>
    </w:p>
    <w:p w:rsidR="00861AAE" w:rsidRDefault="00861AAE" w:rsidP="006866EA">
      <w:pPr>
        <w:pStyle w:val="af0"/>
        <w:widowControl w:val="0"/>
        <w:ind w:left="0" w:firstLine="567"/>
        <w:jc w:val="both"/>
        <w:rPr>
          <w:b/>
          <w:i/>
        </w:rPr>
      </w:pPr>
      <w:r w:rsidRPr="00F56B1C">
        <w:t xml:space="preserve">В результате освоения </w:t>
      </w:r>
      <w:r>
        <w:t>ПМ</w:t>
      </w:r>
      <w:r w:rsidRPr="00F56B1C">
        <w:t xml:space="preserve"> студент </w:t>
      </w:r>
      <w:r w:rsidRPr="00F56B1C">
        <w:rPr>
          <w:b/>
          <w:i/>
        </w:rPr>
        <w:t>должен:</w:t>
      </w:r>
    </w:p>
    <w:p w:rsidR="006866EA" w:rsidRPr="002B6EAC" w:rsidRDefault="006866EA" w:rsidP="006866E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>
        <w:rPr>
          <w:b/>
        </w:rPr>
        <w:t>И</w:t>
      </w:r>
      <w:r w:rsidRPr="002B6EAC">
        <w:rPr>
          <w:b/>
        </w:rPr>
        <w:t>меть практический опы</w:t>
      </w:r>
      <w:bookmarkStart w:id="0" w:name="_GoBack"/>
      <w:bookmarkEnd w:id="0"/>
      <w:r w:rsidRPr="002B6EAC">
        <w:rPr>
          <w:b/>
        </w:rPr>
        <w:t xml:space="preserve">т: </w:t>
      </w:r>
    </w:p>
    <w:p w:rsidR="006866EA" w:rsidRDefault="006866EA" w:rsidP="006866EA">
      <w:pPr>
        <w:pStyle w:val="af7"/>
        <w:numPr>
          <w:ilvl w:val="0"/>
          <w:numId w:val="17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анализа ассортиментной политики торговой организации; </w:t>
      </w:r>
    </w:p>
    <w:p w:rsidR="006866EA" w:rsidRDefault="006866EA" w:rsidP="006866EA">
      <w:pPr>
        <w:pStyle w:val="af7"/>
        <w:numPr>
          <w:ilvl w:val="0"/>
          <w:numId w:val="17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выявления потребности в товаре (спроса); </w:t>
      </w:r>
    </w:p>
    <w:p w:rsidR="006866EA" w:rsidRDefault="006866EA" w:rsidP="006866EA">
      <w:pPr>
        <w:pStyle w:val="af7"/>
        <w:numPr>
          <w:ilvl w:val="0"/>
          <w:numId w:val="17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участия в работе с поставщиками и потребителями; </w:t>
      </w:r>
    </w:p>
    <w:p w:rsidR="006866EA" w:rsidRDefault="006866EA" w:rsidP="006866EA">
      <w:pPr>
        <w:pStyle w:val="af7"/>
        <w:numPr>
          <w:ilvl w:val="0"/>
          <w:numId w:val="17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приемки товаров по количеству и качеству; </w:t>
      </w:r>
    </w:p>
    <w:p w:rsidR="006866EA" w:rsidRDefault="006866EA" w:rsidP="006866EA">
      <w:pPr>
        <w:pStyle w:val="af7"/>
        <w:numPr>
          <w:ilvl w:val="0"/>
          <w:numId w:val="17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размещения товаров; </w:t>
      </w:r>
    </w:p>
    <w:p w:rsidR="006866EA" w:rsidRDefault="006866EA" w:rsidP="006866EA">
      <w:pPr>
        <w:pStyle w:val="af7"/>
        <w:numPr>
          <w:ilvl w:val="0"/>
          <w:numId w:val="17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>контроля условий и сроков транспортировки и хранения товаров;</w:t>
      </w:r>
    </w:p>
    <w:p w:rsidR="006866EA" w:rsidRDefault="006866EA" w:rsidP="006866EA">
      <w:pPr>
        <w:pStyle w:val="af7"/>
        <w:numPr>
          <w:ilvl w:val="0"/>
          <w:numId w:val="17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обеспечения товародвижения в складах и магазинах; </w:t>
      </w:r>
    </w:p>
    <w:p w:rsidR="006866EA" w:rsidRDefault="006866EA" w:rsidP="006866EA">
      <w:pPr>
        <w:pStyle w:val="af7"/>
        <w:numPr>
          <w:ilvl w:val="0"/>
          <w:numId w:val="17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эксплуатации основных видов торгово-технологического оборудования; </w:t>
      </w:r>
    </w:p>
    <w:p w:rsidR="006866EA" w:rsidRDefault="006866EA" w:rsidP="006866EA">
      <w:pPr>
        <w:pStyle w:val="af7"/>
        <w:numPr>
          <w:ilvl w:val="0"/>
          <w:numId w:val="17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участия в проведении инвентаризации товаров; </w:t>
      </w:r>
    </w:p>
    <w:p w:rsidR="006866EA" w:rsidRPr="002B6EAC" w:rsidRDefault="006866EA" w:rsidP="006866E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>
        <w:rPr>
          <w:b/>
        </w:rPr>
        <w:t>У</w:t>
      </w:r>
      <w:r w:rsidRPr="002B6EAC">
        <w:rPr>
          <w:b/>
        </w:rPr>
        <w:t xml:space="preserve">меть: </w:t>
      </w:r>
    </w:p>
    <w:p w:rsidR="006866EA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распознавать товары по ассортиментной принадлежности; </w:t>
      </w:r>
    </w:p>
    <w:p w:rsidR="006866EA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формировать торговый ассортимент по результатам анализа потребности в товарах; </w:t>
      </w:r>
    </w:p>
    <w:p w:rsidR="006866EA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>применять средства и методы маркетинга для формирования спроса и стимулирования сбыта;</w:t>
      </w:r>
    </w:p>
    <w:p w:rsidR="006866EA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>
        <w:t>р</w:t>
      </w:r>
      <w:r w:rsidRPr="002B6EAC">
        <w:t>ассчитывать показатели ассортимента;</w:t>
      </w:r>
    </w:p>
    <w:p w:rsidR="006866EA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оформлять договоры с контрагентами; </w:t>
      </w:r>
    </w:p>
    <w:p w:rsidR="006866EA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контролировать их выполнение, в </w:t>
      </w:r>
      <w:proofErr w:type="spellStart"/>
      <w:r w:rsidRPr="002B6EAC">
        <w:t>т.ч</w:t>
      </w:r>
      <w:proofErr w:type="spellEnd"/>
      <w:r w:rsidRPr="002B6EAC">
        <w:t xml:space="preserve">. поступление товаров в согласованном ассортименте по срокам, качеству, количеству; </w:t>
      </w:r>
    </w:p>
    <w:p w:rsidR="006866EA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предъявлять претензии за невыполнение контрагентами договорных обязательств; </w:t>
      </w:r>
    </w:p>
    <w:p w:rsidR="006866EA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готовить ответы на претензии покупателей; </w:t>
      </w:r>
    </w:p>
    <w:p w:rsidR="006866EA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производить закупку и реализацию товаров; </w:t>
      </w:r>
    </w:p>
    <w:p w:rsidR="006866EA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учитывать факторы, влияющие на ассортимент и качество при организации товародвижения; </w:t>
      </w:r>
    </w:p>
    <w:p w:rsidR="006866EA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соблюдать условия и сроки хранения товаров; </w:t>
      </w:r>
    </w:p>
    <w:p w:rsidR="006866EA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рассчитывать товарные потери; </w:t>
      </w:r>
    </w:p>
    <w:p w:rsidR="006866EA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 xml:space="preserve">планировать меры по ускорению оборачиваемости товаров, сокращению товарных потерь; соблюдать санитарно-эпидемиологические требования к торговым организациям и их персоналу, товарам, окружающей среде; </w:t>
      </w:r>
    </w:p>
    <w:p w:rsidR="006866EA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B6EAC">
        <w:t>соблюдать требования техники безопасности и охраны труда;</w:t>
      </w:r>
    </w:p>
    <w:p w:rsidR="006866EA" w:rsidRPr="007435C0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</w:rPr>
      </w:pPr>
      <w:r w:rsidRPr="007435C0">
        <w:rPr>
          <w:i/>
        </w:rPr>
        <w:t>проводить маркетинговые исследования;</w:t>
      </w:r>
    </w:p>
    <w:p w:rsidR="006866EA" w:rsidRPr="00BA2E0E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</w:rPr>
      </w:pPr>
      <w:r w:rsidRPr="00BA2E0E">
        <w:rPr>
          <w:i/>
        </w:rPr>
        <w:t>проводить анализ маркетинговой информации;</w:t>
      </w:r>
    </w:p>
    <w:p w:rsidR="006866EA" w:rsidRPr="00BA2E0E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</w:rPr>
      </w:pPr>
      <w:r w:rsidRPr="00BA2E0E">
        <w:rPr>
          <w:i/>
        </w:rPr>
        <w:t>строить модель поведения потребителей на рынке;</w:t>
      </w:r>
    </w:p>
    <w:p w:rsidR="006866EA" w:rsidRPr="00BA2E0E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</w:rPr>
      </w:pPr>
      <w:r w:rsidRPr="00BA2E0E">
        <w:rPr>
          <w:i/>
        </w:rPr>
        <w:t>определять сегменты рынка;</w:t>
      </w:r>
    </w:p>
    <w:p w:rsidR="006866EA" w:rsidRPr="00BA2E0E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</w:rPr>
      </w:pPr>
      <w:r w:rsidRPr="00BA2E0E">
        <w:rPr>
          <w:i/>
        </w:rPr>
        <w:t>производить оценку конкурентоспособности товара;</w:t>
      </w:r>
    </w:p>
    <w:p w:rsidR="006866EA" w:rsidRPr="00BA2E0E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</w:rPr>
      </w:pPr>
      <w:r w:rsidRPr="00BA2E0E">
        <w:rPr>
          <w:i/>
        </w:rPr>
        <w:t>планировать систему продвижения товара;</w:t>
      </w:r>
    </w:p>
    <w:p w:rsidR="006866EA" w:rsidRPr="00BA2E0E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</w:rPr>
      </w:pPr>
      <w:r w:rsidRPr="00BA2E0E">
        <w:rPr>
          <w:i/>
        </w:rPr>
        <w:t>производить оценку выбора каналов распределения товаров;</w:t>
      </w:r>
    </w:p>
    <w:p w:rsidR="006866EA" w:rsidRPr="00BA2E0E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</w:rPr>
      </w:pPr>
      <w:r w:rsidRPr="00BA2E0E">
        <w:rPr>
          <w:i/>
        </w:rPr>
        <w:t>использовать методы комфортных климатических условий в рабочих помещениях;</w:t>
      </w:r>
    </w:p>
    <w:p w:rsidR="006866EA" w:rsidRPr="00BA2E0E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</w:rPr>
      </w:pPr>
      <w:r w:rsidRPr="00BA2E0E">
        <w:rPr>
          <w:i/>
        </w:rPr>
        <w:lastRenderedPageBreak/>
        <w:t>производить контроль производственного освещения;</w:t>
      </w:r>
    </w:p>
    <w:p w:rsidR="006866EA" w:rsidRPr="007435C0" w:rsidRDefault="006866EA" w:rsidP="006866EA">
      <w:pPr>
        <w:pStyle w:val="af7"/>
        <w:numPr>
          <w:ilvl w:val="0"/>
          <w:numId w:val="18"/>
        </w:numPr>
        <w:tabs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</w:rPr>
      </w:pPr>
      <w:r w:rsidRPr="00BA2E0E">
        <w:rPr>
          <w:i/>
        </w:rPr>
        <w:t>производить расследования несчастного случая и оформления акта о несчастном случае.</w:t>
      </w:r>
    </w:p>
    <w:p w:rsidR="006866EA" w:rsidRPr="002B6EAC" w:rsidRDefault="006866EA" w:rsidP="006866E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>
        <w:rPr>
          <w:b/>
        </w:rPr>
        <w:t>З</w:t>
      </w:r>
      <w:r w:rsidRPr="002B6EAC">
        <w:rPr>
          <w:b/>
        </w:rPr>
        <w:t xml:space="preserve">нать: </w:t>
      </w:r>
    </w:p>
    <w:p w:rsidR="006866EA" w:rsidRDefault="006866EA" w:rsidP="006866EA">
      <w:pPr>
        <w:pStyle w:val="af7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2B6EAC">
        <w:t>ассортимент товаров однородных групп определенного класса, их потребительские свойства</w:t>
      </w:r>
    </w:p>
    <w:p w:rsidR="006866EA" w:rsidRDefault="006866EA" w:rsidP="006866EA">
      <w:pPr>
        <w:pStyle w:val="af7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2B6EAC">
        <w:t xml:space="preserve">товароведные характеристики реализуемых товаров, их свойства и показатели; </w:t>
      </w:r>
    </w:p>
    <w:p w:rsidR="006866EA" w:rsidRDefault="006866EA" w:rsidP="006866EA">
      <w:pPr>
        <w:pStyle w:val="af7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2B6EAC">
        <w:t xml:space="preserve">виды, назначение, структуру договоров с поставщиками и потребителями; </w:t>
      </w:r>
    </w:p>
    <w:p w:rsidR="006866EA" w:rsidRDefault="006866EA" w:rsidP="006866EA">
      <w:pPr>
        <w:pStyle w:val="af7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2B6EAC">
        <w:t xml:space="preserve">технологические процессы товародвижения; </w:t>
      </w:r>
    </w:p>
    <w:p w:rsidR="006866EA" w:rsidRDefault="006866EA" w:rsidP="006866EA">
      <w:pPr>
        <w:pStyle w:val="af7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2B6EAC">
        <w:t xml:space="preserve">формы документального сопровождения товародвижения; </w:t>
      </w:r>
    </w:p>
    <w:p w:rsidR="006866EA" w:rsidRDefault="006866EA" w:rsidP="006866EA">
      <w:pPr>
        <w:pStyle w:val="af7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2B6EAC">
        <w:t xml:space="preserve">правила приемки товаров; </w:t>
      </w:r>
    </w:p>
    <w:p w:rsidR="006866EA" w:rsidRDefault="006866EA" w:rsidP="006866EA">
      <w:pPr>
        <w:pStyle w:val="af7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2B6EAC">
        <w:t xml:space="preserve">способы размещения товаров на складах и в магазинах; </w:t>
      </w:r>
    </w:p>
    <w:p w:rsidR="006866EA" w:rsidRDefault="006866EA" w:rsidP="006866EA">
      <w:pPr>
        <w:pStyle w:val="af7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2B6EAC">
        <w:t xml:space="preserve">условия и сроки транспортирования и хранения товаров однородных групп; </w:t>
      </w:r>
    </w:p>
    <w:p w:rsidR="006866EA" w:rsidRDefault="006866EA" w:rsidP="006866EA">
      <w:pPr>
        <w:pStyle w:val="af7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2B6EAC">
        <w:t xml:space="preserve">основные мероприятия по предупреждению повреждения и порчи товаров; </w:t>
      </w:r>
    </w:p>
    <w:p w:rsidR="006866EA" w:rsidRDefault="006866EA" w:rsidP="006866EA">
      <w:pPr>
        <w:pStyle w:val="af7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2B6EAC">
        <w:t xml:space="preserve">классификацию торгово-технологического оборудования, его назначение и устройство; </w:t>
      </w:r>
    </w:p>
    <w:p w:rsidR="006866EA" w:rsidRDefault="006866EA" w:rsidP="006866EA">
      <w:pPr>
        <w:pStyle w:val="af7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2B6EAC">
        <w:t xml:space="preserve">требования к условиям и правила эксплуатации торгово-технологического оборудования; </w:t>
      </w:r>
    </w:p>
    <w:p w:rsidR="006866EA" w:rsidRDefault="006866EA" w:rsidP="006866EA">
      <w:pPr>
        <w:pStyle w:val="af7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2B6EAC">
        <w:t xml:space="preserve">нормативно-правовое обеспечение санитарно-эпидемиологического благополучия (санитарные нормы и правила); </w:t>
      </w:r>
    </w:p>
    <w:p w:rsidR="006866EA" w:rsidRDefault="006866EA" w:rsidP="006866EA">
      <w:pPr>
        <w:pStyle w:val="af7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2B6EAC">
        <w:t xml:space="preserve">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 обязанности работников в области охраны труда; </w:t>
      </w:r>
    </w:p>
    <w:p w:rsidR="006866EA" w:rsidRDefault="006866EA" w:rsidP="006866EA">
      <w:pPr>
        <w:pStyle w:val="af7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2B6EAC">
        <w:t xml:space="preserve">причины возникновения производственного травматизма и его профилактика; </w:t>
      </w:r>
    </w:p>
    <w:p w:rsidR="006866EA" w:rsidRDefault="006866EA" w:rsidP="006866EA">
      <w:pPr>
        <w:pStyle w:val="af7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2B6EAC">
        <w:t xml:space="preserve">фактические или потенциальные последствия собственной деятельности (или бездействия) и их влияние на уровень безопасности труда; </w:t>
      </w:r>
    </w:p>
    <w:p w:rsidR="006866EA" w:rsidRPr="002B6EAC" w:rsidRDefault="006866EA" w:rsidP="006866EA">
      <w:pPr>
        <w:pStyle w:val="af7"/>
        <w:numPr>
          <w:ilvl w:val="0"/>
          <w:numId w:val="19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2B6EAC">
        <w:t>возможные последствия несоблюдения технологических процессов и производственных инструкций подчиненными работниками (персоналом).</w:t>
      </w:r>
    </w:p>
    <w:p w:rsidR="006866EA" w:rsidRPr="00DD3BE7" w:rsidRDefault="006866EA" w:rsidP="006866EA">
      <w:pPr>
        <w:numPr>
          <w:ilvl w:val="0"/>
          <w:numId w:val="16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i/>
        </w:rPr>
      </w:pPr>
      <w:r w:rsidRPr="00DD3BE7">
        <w:rPr>
          <w:i/>
        </w:rPr>
        <w:t>структуру и виды рынка;</w:t>
      </w:r>
    </w:p>
    <w:p w:rsidR="006866EA" w:rsidRPr="00DD3BE7" w:rsidRDefault="006866EA" w:rsidP="006866EA">
      <w:pPr>
        <w:numPr>
          <w:ilvl w:val="0"/>
          <w:numId w:val="16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i/>
        </w:rPr>
      </w:pPr>
      <w:r w:rsidRPr="00DD3BE7">
        <w:rPr>
          <w:i/>
        </w:rPr>
        <w:t>классификацию потребителей товаров на рынке;</w:t>
      </w:r>
    </w:p>
    <w:p w:rsidR="006866EA" w:rsidRPr="00DD3BE7" w:rsidRDefault="006866EA" w:rsidP="006866EA">
      <w:pPr>
        <w:numPr>
          <w:ilvl w:val="0"/>
          <w:numId w:val="16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i/>
        </w:rPr>
      </w:pPr>
      <w:r w:rsidRPr="00DD3BE7">
        <w:rPr>
          <w:i/>
        </w:rPr>
        <w:t>методику проведения рекламной кампании и методов персональной продажи;</w:t>
      </w:r>
    </w:p>
    <w:p w:rsidR="006866EA" w:rsidRPr="00DD3BE7" w:rsidRDefault="006866EA" w:rsidP="006866EA">
      <w:pPr>
        <w:numPr>
          <w:ilvl w:val="0"/>
          <w:numId w:val="16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i/>
        </w:rPr>
      </w:pPr>
      <w:r w:rsidRPr="00DD3BE7">
        <w:rPr>
          <w:i/>
        </w:rPr>
        <w:t>виды производственного травматизма и профессиональных заболеваний;</w:t>
      </w:r>
    </w:p>
    <w:p w:rsidR="006866EA" w:rsidRDefault="006866EA" w:rsidP="006866EA">
      <w:pPr>
        <w:numPr>
          <w:ilvl w:val="0"/>
          <w:numId w:val="16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0"/>
        <w:contextualSpacing/>
        <w:jc w:val="both"/>
        <w:rPr>
          <w:i/>
        </w:rPr>
      </w:pPr>
      <w:r w:rsidRPr="00DD3BE7">
        <w:rPr>
          <w:i/>
        </w:rPr>
        <w:t>обязанности работников в области охраны труда в торговле.</w:t>
      </w:r>
    </w:p>
    <w:p w:rsidR="006866EA" w:rsidRDefault="006866EA" w:rsidP="006866EA">
      <w:pPr>
        <w:tabs>
          <w:tab w:val="left" w:pos="284"/>
          <w:tab w:val="left" w:pos="1134"/>
        </w:tabs>
        <w:autoSpaceDE w:val="0"/>
        <w:autoSpaceDN w:val="0"/>
        <w:adjustRightInd w:val="0"/>
        <w:contextualSpacing/>
        <w:jc w:val="both"/>
        <w:rPr>
          <w:i/>
        </w:rPr>
      </w:pPr>
    </w:p>
    <w:p w:rsidR="00861AAE" w:rsidRDefault="00861AAE" w:rsidP="0054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</w:rPr>
      </w:pPr>
      <w:r>
        <w:rPr>
          <w:b/>
        </w:rPr>
        <w:t>4. Структура модуля</w:t>
      </w:r>
    </w:p>
    <w:p w:rsidR="00861AAE" w:rsidRDefault="00861AAE" w:rsidP="0054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23"/>
        <w:gridCol w:w="4394"/>
      </w:tblGrid>
      <w:tr w:rsidR="00861AAE" w:rsidRPr="009A3E2D" w:rsidTr="006866EA">
        <w:trPr>
          <w:trHeight w:val="278"/>
          <w:jc w:val="center"/>
        </w:trPr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AE" w:rsidRPr="009A3E2D" w:rsidRDefault="00861AAE" w:rsidP="00543AAE">
            <w:pPr>
              <w:pStyle w:val="1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2D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модуля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AE" w:rsidRPr="009A3E2D" w:rsidRDefault="00861AAE" w:rsidP="00543AAE">
            <w:pPr>
              <w:pStyle w:val="1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2D">
              <w:rPr>
                <w:rFonts w:ascii="Times New Roman" w:hAnsi="Times New Roman"/>
                <w:b/>
                <w:bCs/>
                <w:sz w:val="24"/>
                <w:szCs w:val="24"/>
              </w:rPr>
              <w:t>Формы промежуточной аттестации</w:t>
            </w:r>
          </w:p>
        </w:tc>
      </w:tr>
      <w:tr w:rsidR="00C804F6" w:rsidRPr="00C804F6" w:rsidTr="006866EA">
        <w:trPr>
          <w:trHeight w:val="278"/>
          <w:jc w:val="center"/>
        </w:trPr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6" w:rsidRPr="00C804F6" w:rsidRDefault="00C804F6" w:rsidP="00C804F6">
            <w:pPr>
              <w:pStyle w:val="14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4F6">
              <w:rPr>
                <w:rFonts w:ascii="Times New Roman" w:hAnsi="Times New Roman"/>
                <w:bCs/>
                <w:sz w:val="24"/>
                <w:szCs w:val="24"/>
              </w:rPr>
              <w:t>ПМ 01 Управление ассортиментом товаров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6" w:rsidRPr="00C804F6" w:rsidRDefault="00C804F6" w:rsidP="006866EA">
            <w:pPr>
              <w:pStyle w:val="14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4F6"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</w:tr>
      <w:tr w:rsidR="00861AAE" w:rsidRPr="009A3E2D" w:rsidTr="006866EA">
        <w:trPr>
          <w:jc w:val="center"/>
        </w:trPr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AE" w:rsidRPr="009A3E2D" w:rsidRDefault="00861AAE" w:rsidP="00543AAE">
            <w:pPr>
              <w:pStyle w:val="1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A3E2D">
              <w:rPr>
                <w:rFonts w:ascii="Times New Roman" w:hAnsi="Times New Roman"/>
                <w:sz w:val="24"/>
                <w:szCs w:val="24"/>
              </w:rPr>
              <w:t xml:space="preserve">МДК </w:t>
            </w:r>
            <w:r>
              <w:rPr>
                <w:rFonts w:ascii="Times New Roman" w:hAnsi="Times New Roman"/>
                <w:sz w:val="24"/>
                <w:szCs w:val="24"/>
              </w:rPr>
              <w:t>01.01</w:t>
            </w:r>
            <w:r w:rsidRPr="00E848E8">
              <w:rPr>
                <w:b/>
                <w:bCs/>
                <w:sz w:val="20"/>
                <w:szCs w:val="20"/>
              </w:rPr>
              <w:t xml:space="preserve"> </w:t>
            </w:r>
            <w:r w:rsidRPr="00861AAE">
              <w:rPr>
                <w:rFonts w:ascii="Times New Roman" w:hAnsi="Times New Roman"/>
                <w:bCs/>
                <w:sz w:val="24"/>
                <w:szCs w:val="24"/>
              </w:rPr>
              <w:t>Основы управления ассортиментом товаров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AE" w:rsidRPr="00861AAE" w:rsidRDefault="00861AAE" w:rsidP="00543AAE">
            <w:pPr>
              <w:pStyle w:val="1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61AAE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861AAE" w:rsidRPr="009A3E2D" w:rsidTr="006866EA">
        <w:trPr>
          <w:jc w:val="center"/>
        </w:trPr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AE" w:rsidRPr="009A3E2D" w:rsidRDefault="00861AAE" w:rsidP="00543AAE">
            <w:pPr>
              <w:pStyle w:val="1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A3E2D">
              <w:rPr>
                <w:rFonts w:ascii="Times New Roman" w:hAnsi="Times New Roman"/>
                <w:sz w:val="24"/>
                <w:szCs w:val="24"/>
              </w:rPr>
              <w:t>УП</w:t>
            </w:r>
            <w:r w:rsidR="006866EA">
              <w:rPr>
                <w:rFonts w:ascii="Times New Roman" w:hAnsi="Times New Roman"/>
                <w:sz w:val="24"/>
                <w:szCs w:val="24"/>
              </w:rPr>
              <w:t xml:space="preserve"> 01.01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AE" w:rsidRPr="00861AAE" w:rsidRDefault="00861AAE" w:rsidP="00543AAE">
            <w:pPr>
              <w:pStyle w:val="1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61AAE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861AAE" w:rsidRPr="009A3E2D" w:rsidTr="006866EA">
        <w:trPr>
          <w:jc w:val="center"/>
        </w:trPr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AE" w:rsidRPr="009A3E2D" w:rsidRDefault="00861AAE" w:rsidP="00543AAE">
            <w:pPr>
              <w:pStyle w:val="1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A3E2D">
              <w:rPr>
                <w:rFonts w:ascii="Times New Roman" w:hAnsi="Times New Roman"/>
                <w:sz w:val="24"/>
                <w:szCs w:val="24"/>
              </w:rPr>
              <w:t>ПП</w:t>
            </w:r>
            <w:r w:rsidR="006866EA">
              <w:rPr>
                <w:rFonts w:ascii="Times New Roman" w:hAnsi="Times New Roman"/>
                <w:sz w:val="24"/>
                <w:szCs w:val="24"/>
              </w:rPr>
              <w:t xml:space="preserve"> 01.01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AAE" w:rsidRPr="00861AAE" w:rsidRDefault="00861AAE" w:rsidP="00543AAE">
            <w:pPr>
              <w:pStyle w:val="1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61AAE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861AAE" w:rsidRDefault="00861AAE" w:rsidP="0054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</w:rPr>
      </w:pPr>
    </w:p>
    <w:p w:rsidR="00861AAE" w:rsidRDefault="00861AAE" w:rsidP="00543AAE">
      <w:pPr>
        <w:pStyle w:val="13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E12F26">
        <w:rPr>
          <w:rFonts w:ascii="Times New Roman" w:hAnsi="Times New Roman"/>
          <w:b/>
          <w:sz w:val="24"/>
          <w:szCs w:val="24"/>
        </w:rPr>
        <w:t xml:space="preserve">. </w:t>
      </w:r>
      <w:r w:rsidRPr="00D67745"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</w:t>
      </w:r>
    </w:p>
    <w:p w:rsidR="006C4EDB" w:rsidRDefault="006C4EDB" w:rsidP="00543AAE">
      <w:pPr>
        <w:pStyle w:val="13"/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3043"/>
        <w:gridCol w:w="3650"/>
        <w:gridCol w:w="2827"/>
      </w:tblGrid>
      <w:tr w:rsidR="006C4EDB" w:rsidRPr="006C4EDB" w:rsidTr="00C03F8F">
        <w:trPr>
          <w:trHeight w:val="552"/>
        </w:trPr>
        <w:tc>
          <w:tcPr>
            <w:tcW w:w="3043" w:type="dxa"/>
            <w:vAlign w:val="center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b/>
                <w:sz w:val="22"/>
              </w:rPr>
            </w:pPr>
            <w:r w:rsidRPr="006C4EDB">
              <w:rPr>
                <w:rFonts w:eastAsia="PMingLiU"/>
                <w:b/>
                <w:sz w:val="22"/>
              </w:rPr>
              <w:t>Вид учебной работы</w:t>
            </w:r>
          </w:p>
        </w:tc>
        <w:tc>
          <w:tcPr>
            <w:tcW w:w="3650" w:type="dxa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b/>
                <w:sz w:val="22"/>
              </w:rPr>
            </w:pPr>
            <w:r w:rsidRPr="006C4EDB">
              <w:rPr>
                <w:rFonts w:eastAsia="PMingLiU"/>
                <w:b/>
                <w:sz w:val="22"/>
              </w:rPr>
              <w:t xml:space="preserve">Квалификация: </w:t>
            </w:r>
          </w:p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b/>
                <w:sz w:val="22"/>
              </w:rPr>
            </w:pPr>
            <w:r w:rsidRPr="006C4EDB">
              <w:rPr>
                <w:rFonts w:eastAsia="PMingLiU"/>
                <w:b/>
                <w:sz w:val="22"/>
              </w:rPr>
              <w:t>Товаровед-эксперт</w:t>
            </w:r>
          </w:p>
        </w:tc>
        <w:tc>
          <w:tcPr>
            <w:tcW w:w="2827" w:type="dxa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b/>
                <w:sz w:val="22"/>
              </w:rPr>
            </w:pPr>
            <w:r w:rsidRPr="006C4EDB">
              <w:rPr>
                <w:rFonts w:eastAsia="PMingLiU"/>
                <w:b/>
                <w:sz w:val="22"/>
              </w:rPr>
              <w:t>Практическая подготовка</w:t>
            </w:r>
          </w:p>
        </w:tc>
      </w:tr>
      <w:tr w:rsidR="006C4EDB" w:rsidRPr="006C4EDB" w:rsidTr="00C03F8F">
        <w:tc>
          <w:tcPr>
            <w:tcW w:w="3043" w:type="dxa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rFonts w:eastAsia="PMingLiU"/>
                <w:b/>
                <w:sz w:val="22"/>
              </w:rPr>
            </w:pPr>
            <w:r w:rsidRPr="006C4EDB">
              <w:rPr>
                <w:rFonts w:eastAsia="PMingLiU"/>
                <w:b/>
                <w:sz w:val="22"/>
              </w:rPr>
              <w:t>Всего часов:</w:t>
            </w:r>
          </w:p>
        </w:tc>
        <w:tc>
          <w:tcPr>
            <w:tcW w:w="3650" w:type="dxa"/>
            <w:vAlign w:val="center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b/>
                <w:sz w:val="22"/>
              </w:rPr>
            </w:pPr>
            <w:r w:rsidRPr="006C4EDB">
              <w:rPr>
                <w:rFonts w:eastAsia="PMingLiU"/>
                <w:b/>
                <w:sz w:val="22"/>
              </w:rPr>
              <w:t>474</w:t>
            </w:r>
          </w:p>
        </w:tc>
        <w:tc>
          <w:tcPr>
            <w:tcW w:w="2827" w:type="dxa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b/>
                <w:sz w:val="22"/>
              </w:rPr>
            </w:pPr>
            <w:r w:rsidRPr="006C4EDB">
              <w:rPr>
                <w:rFonts w:eastAsia="PMingLiU"/>
                <w:b/>
                <w:sz w:val="22"/>
              </w:rPr>
              <w:t>208</w:t>
            </w:r>
          </w:p>
        </w:tc>
      </w:tr>
      <w:tr w:rsidR="006C4EDB" w:rsidRPr="006C4EDB" w:rsidTr="00C03F8F">
        <w:tc>
          <w:tcPr>
            <w:tcW w:w="3043" w:type="dxa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rFonts w:eastAsia="PMingLiU"/>
                <w:b/>
                <w:sz w:val="22"/>
              </w:rPr>
            </w:pPr>
            <w:r w:rsidRPr="006C4EDB">
              <w:rPr>
                <w:rFonts w:eastAsia="PMingLiU"/>
                <w:b/>
                <w:sz w:val="22"/>
              </w:rPr>
              <w:t xml:space="preserve">на освоение МДК </w:t>
            </w:r>
          </w:p>
        </w:tc>
        <w:tc>
          <w:tcPr>
            <w:tcW w:w="3650" w:type="dxa"/>
            <w:vAlign w:val="center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b/>
                <w:sz w:val="22"/>
              </w:rPr>
            </w:pPr>
            <w:r w:rsidRPr="006C4EDB">
              <w:rPr>
                <w:rFonts w:eastAsia="PMingLiU"/>
                <w:b/>
                <w:sz w:val="22"/>
              </w:rPr>
              <w:t>366</w:t>
            </w:r>
          </w:p>
        </w:tc>
        <w:tc>
          <w:tcPr>
            <w:tcW w:w="2827" w:type="dxa"/>
            <w:vAlign w:val="center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b/>
                <w:sz w:val="22"/>
              </w:rPr>
            </w:pPr>
            <w:r w:rsidRPr="006C4EDB">
              <w:rPr>
                <w:rFonts w:eastAsia="PMingLiU"/>
                <w:b/>
                <w:sz w:val="22"/>
              </w:rPr>
              <w:t>100</w:t>
            </w:r>
          </w:p>
        </w:tc>
      </w:tr>
      <w:tr w:rsidR="006C4EDB" w:rsidRPr="006C4EDB" w:rsidTr="00C03F8F">
        <w:tc>
          <w:tcPr>
            <w:tcW w:w="3043" w:type="dxa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ind w:left="176"/>
              <w:contextualSpacing/>
              <w:textAlignment w:val="baseline"/>
              <w:rPr>
                <w:rFonts w:eastAsia="PMingLiU"/>
                <w:sz w:val="22"/>
              </w:rPr>
            </w:pPr>
            <w:r w:rsidRPr="006C4EDB">
              <w:rPr>
                <w:rFonts w:eastAsia="PMingLiU"/>
                <w:sz w:val="22"/>
              </w:rPr>
              <w:t>обязательной аудиторной учебной нагрузки МДК 01.01</w:t>
            </w:r>
          </w:p>
        </w:tc>
        <w:tc>
          <w:tcPr>
            <w:tcW w:w="3650" w:type="dxa"/>
            <w:vAlign w:val="center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sz w:val="22"/>
              </w:rPr>
            </w:pPr>
            <w:r w:rsidRPr="006C4EDB">
              <w:rPr>
                <w:rFonts w:eastAsia="PMingLiU"/>
                <w:sz w:val="22"/>
              </w:rPr>
              <w:t>244</w:t>
            </w:r>
          </w:p>
        </w:tc>
        <w:tc>
          <w:tcPr>
            <w:tcW w:w="2827" w:type="dxa"/>
            <w:vAlign w:val="center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sz w:val="22"/>
              </w:rPr>
            </w:pPr>
            <w:r w:rsidRPr="006C4EDB">
              <w:rPr>
                <w:rFonts w:eastAsia="PMingLiU"/>
                <w:sz w:val="22"/>
              </w:rPr>
              <w:t>100</w:t>
            </w:r>
          </w:p>
        </w:tc>
      </w:tr>
      <w:tr w:rsidR="006C4EDB" w:rsidRPr="006C4EDB" w:rsidTr="00C03F8F">
        <w:tc>
          <w:tcPr>
            <w:tcW w:w="3043" w:type="dxa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ind w:left="176"/>
              <w:contextualSpacing/>
              <w:textAlignment w:val="baseline"/>
              <w:rPr>
                <w:rFonts w:eastAsia="PMingLiU"/>
                <w:sz w:val="22"/>
              </w:rPr>
            </w:pPr>
            <w:r w:rsidRPr="006C4EDB">
              <w:rPr>
                <w:rFonts w:eastAsia="PMingLiU"/>
                <w:sz w:val="22"/>
              </w:rPr>
              <w:t>в том числе:</w:t>
            </w:r>
          </w:p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ind w:left="176" w:firstLine="283"/>
              <w:contextualSpacing/>
              <w:textAlignment w:val="baseline"/>
              <w:rPr>
                <w:rFonts w:eastAsia="PMingLiU"/>
                <w:sz w:val="22"/>
              </w:rPr>
            </w:pPr>
            <w:r w:rsidRPr="006C4EDB">
              <w:rPr>
                <w:rFonts w:eastAsia="PMingLiU"/>
                <w:sz w:val="22"/>
              </w:rPr>
              <w:t>практические занятия</w:t>
            </w:r>
          </w:p>
        </w:tc>
        <w:tc>
          <w:tcPr>
            <w:tcW w:w="3650" w:type="dxa"/>
            <w:vAlign w:val="center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PMingLiU"/>
                <w:sz w:val="22"/>
              </w:rPr>
            </w:pPr>
          </w:p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PMingLiU"/>
                <w:sz w:val="22"/>
              </w:rPr>
            </w:pPr>
            <w:r w:rsidRPr="006C4EDB">
              <w:rPr>
                <w:rFonts w:eastAsia="PMingLiU"/>
                <w:sz w:val="22"/>
              </w:rPr>
              <w:t>100</w:t>
            </w:r>
          </w:p>
        </w:tc>
        <w:tc>
          <w:tcPr>
            <w:tcW w:w="2827" w:type="dxa"/>
            <w:vAlign w:val="center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PMingLiU"/>
                <w:sz w:val="22"/>
              </w:rPr>
            </w:pPr>
          </w:p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PMingLiU"/>
                <w:sz w:val="22"/>
              </w:rPr>
            </w:pPr>
            <w:r w:rsidRPr="006C4EDB">
              <w:rPr>
                <w:rFonts w:eastAsia="PMingLiU"/>
                <w:sz w:val="22"/>
              </w:rPr>
              <w:t>100</w:t>
            </w:r>
          </w:p>
        </w:tc>
      </w:tr>
      <w:tr w:rsidR="006C4EDB" w:rsidRPr="006C4EDB" w:rsidTr="00C03F8F">
        <w:tc>
          <w:tcPr>
            <w:tcW w:w="3043" w:type="dxa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ind w:left="176"/>
              <w:contextualSpacing/>
              <w:textAlignment w:val="baseline"/>
              <w:rPr>
                <w:rFonts w:eastAsia="PMingLiU"/>
                <w:sz w:val="22"/>
              </w:rPr>
            </w:pPr>
            <w:r w:rsidRPr="006C4EDB">
              <w:rPr>
                <w:rFonts w:eastAsia="PMingLiU"/>
                <w:sz w:val="22"/>
              </w:rPr>
              <w:t>самостоятельная работа обучающегося</w:t>
            </w:r>
          </w:p>
        </w:tc>
        <w:tc>
          <w:tcPr>
            <w:tcW w:w="3650" w:type="dxa"/>
            <w:vAlign w:val="center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sz w:val="22"/>
              </w:rPr>
            </w:pPr>
            <w:r w:rsidRPr="006C4EDB">
              <w:rPr>
                <w:rFonts w:eastAsia="PMingLiU"/>
                <w:sz w:val="22"/>
              </w:rPr>
              <w:t>122</w:t>
            </w:r>
          </w:p>
        </w:tc>
        <w:tc>
          <w:tcPr>
            <w:tcW w:w="2827" w:type="dxa"/>
            <w:vAlign w:val="center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sz w:val="22"/>
              </w:rPr>
            </w:pPr>
            <w:r w:rsidRPr="006C4EDB">
              <w:rPr>
                <w:rFonts w:eastAsia="PMingLiU"/>
                <w:sz w:val="22"/>
              </w:rPr>
              <w:t xml:space="preserve"> </w:t>
            </w:r>
          </w:p>
        </w:tc>
      </w:tr>
      <w:tr w:rsidR="006C4EDB" w:rsidRPr="006C4EDB" w:rsidTr="00C03F8F">
        <w:tc>
          <w:tcPr>
            <w:tcW w:w="3043" w:type="dxa"/>
            <w:vAlign w:val="center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rFonts w:eastAsia="PMingLiU"/>
                <w:b/>
                <w:sz w:val="22"/>
              </w:rPr>
            </w:pPr>
            <w:r w:rsidRPr="006C4EDB">
              <w:rPr>
                <w:rFonts w:eastAsia="PMingLiU"/>
                <w:b/>
                <w:sz w:val="22"/>
              </w:rPr>
              <w:t xml:space="preserve">на практики      </w:t>
            </w:r>
          </w:p>
        </w:tc>
        <w:tc>
          <w:tcPr>
            <w:tcW w:w="3650" w:type="dxa"/>
            <w:vAlign w:val="center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b/>
                <w:sz w:val="22"/>
              </w:rPr>
            </w:pPr>
            <w:r w:rsidRPr="006C4EDB">
              <w:rPr>
                <w:rFonts w:eastAsia="PMingLiU"/>
                <w:b/>
                <w:sz w:val="22"/>
              </w:rPr>
              <w:t>108</w:t>
            </w:r>
          </w:p>
        </w:tc>
        <w:tc>
          <w:tcPr>
            <w:tcW w:w="2827" w:type="dxa"/>
            <w:vAlign w:val="center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b/>
                <w:sz w:val="22"/>
              </w:rPr>
            </w:pPr>
            <w:r w:rsidRPr="006C4EDB">
              <w:rPr>
                <w:rFonts w:eastAsia="PMingLiU"/>
                <w:b/>
                <w:sz w:val="22"/>
              </w:rPr>
              <w:t>108</w:t>
            </w:r>
          </w:p>
        </w:tc>
      </w:tr>
      <w:tr w:rsidR="006C4EDB" w:rsidRPr="006C4EDB" w:rsidTr="00C03F8F">
        <w:trPr>
          <w:trHeight w:val="65"/>
        </w:trPr>
        <w:tc>
          <w:tcPr>
            <w:tcW w:w="3043" w:type="dxa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ind w:left="176"/>
              <w:contextualSpacing/>
              <w:textAlignment w:val="baseline"/>
              <w:rPr>
                <w:rFonts w:eastAsia="PMingLiU"/>
                <w:sz w:val="22"/>
              </w:rPr>
            </w:pPr>
            <w:r w:rsidRPr="006C4EDB">
              <w:rPr>
                <w:rFonts w:eastAsia="PMingLiU"/>
                <w:sz w:val="22"/>
              </w:rPr>
              <w:t>учебную</w:t>
            </w:r>
          </w:p>
        </w:tc>
        <w:tc>
          <w:tcPr>
            <w:tcW w:w="3650" w:type="dxa"/>
            <w:vAlign w:val="center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sz w:val="22"/>
              </w:rPr>
            </w:pPr>
            <w:r w:rsidRPr="006C4EDB">
              <w:rPr>
                <w:rFonts w:eastAsia="PMingLiU"/>
                <w:sz w:val="22"/>
              </w:rPr>
              <w:t>36</w:t>
            </w:r>
          </w:p>
        </w:tc>
        <w:tc>
          <w:tcPr>
            <w:tcW w:w="2827" w:type="dxa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sz w:val="22"/>
              </w:rPr>
            </w:pPr>
            <w:r w:rsidRPr="006C4EDB">
              <w:rPr>
                <w:rFonts w:eastAsia="PMingLiU"/>
                <w:sz w:val="22"/>
              </w:rPr>
              <w:t>36</w:t>
            </w:r>
          </w:p>
        </w:tc>
      </w:tr>
      <w:tr w:rsidR="006C4EDB" w:rsidRPr="006C4EDB" w:rsidTr="00C03F8F">
        <w:tc>
          <w:tcPr>
            <w:tcW w:w="3043" w:type="dxa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ind w:left="176"/>
              <w:contextualSpacing/>
              <w:textAlignment w:val="baseline"/>
              <w:rPr>
                <w:rFonts w:eastAsia="PMingLiU"/>
                <w:sz w:val="22"/>
              </w:rPr>
            </w:pPr>
            <w:r w:rsidRPr="006C4EDB">
              <w:rPr>
                <w:rFonts w:eastAsia="PMingLiU"/>
                <w:sz w:val="22"/>
              </w:rPr>
              <w:t>производственную</w:t>
            </w:r>
          </w:p>
        </w:tc>
        <w:tc>
          <w:tcPr>
            <w:tcW w:w="3650" w:type="dxa"/>
            <w:vAlign w:val="center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sz w:val="22"/>
              </w:rPr>
            </w:pPr>
            <w:r w:rsidRPr="006C4EDB">
              <w:rPr>
                <w:rFonts w:eastAsia="PMingLiU"/>
                <w:sz w:val="22"/>
              </w:rPr>
              <w:t>72</w:t>
            </w:r>
          </w:p>
        </w:tc>
        <w:tc>
          <w:tcPr>
            <w:tcW w:w="2827" w:type="dxa"/>
          </w:tcPr>
          <w:p w:rsidR="006C4EDB" w:rsidRPr="006C4EDB" w:rsidRDefault="006C4EDB" w:rsidP="00C03F8F">
            <w:pPr>
              <w:keepNext/>
              <w:keepLines/>
              <w:suppressLineNumbers/>
              <w:suppressAutoHyphens/>
              <w:overflowPunct w:val="0"/>
              <w:autoSpaceDE w:val="0"/>
              <w:autoSpaceDN w:val="0"/>
              <w:adjustRightInd w:val="0"/>
              <w:snapToGrid w:val="0"/>
              <w:contextualSpacing/>
              <w:jc w:val="center"/>
              <w:textAlignment w:val="baseline"/>
              <w:rPr>
                <w:rFonts w:eastAsia="PMingLiU"/>
                <w:sz w:val="22"/>
              </w:rPr>
            </w:pPr>
            <w:r w:rsidRPr="006C4EDB">
              <w:rPr>
                <w:rFonts w:eastAsia="PMingLiU"/>
                <w:sz w:val="22"/>
              </w:rPr>
              <w:t>72</w:t>
            </w:r>
          </w:p>
        </w:tc>
      </w:tr>
    </w:tbl>
    <w:p w:rsidR="00C804F6" w:rsidRDefault="00C804F6" w:rsidP="006866EA">
      <w:pPr>
        <w:pStyle w:val="13"/>
        <w:ind w:firstLine="709"/>
        <w:rPr>
          <w:rFonts w:ascii="Times New Roman" w:hAnsi="Times New Roman"/>
          <w:sz w:val="24"/>
          <w:szCs w:val="24"/>
        </w:rPr>
      </w:pPr>
    </w:p>
    <w:sectPr w:rsidR="00C804F6" w:rsidSect="006C4EDB">
      <w:footerReference w:type="default" r:id="rId8"/>
      <w:pgSz w:w="11907" w:h="16840"/>
      <w:pgMar w:top="709" w:right="737" w:bottom="568" w:left="1276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21F" w:rsidRDefault="003A321F">
      <w:r>
        <w:separator/>
      </w:r>
    </w:p>
  </w:endnote>
  <w:endnote w:type="continuationSeparator" w:id="0">
    <w:p w:rsidR="003A321F" w:rsidRDefault="003A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AE" w:rsidRDefault="00861AAE" w:rsidP="00855F7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21F" w:rsidRDefault="003A321F">
      <w:r>
        <w:separator/>
      </w:r>
    </w:p>
  </w:footnote>
  <w:footnote w:type="continuationSeparator" w:id="0">
    <w:p w:rsidR="003A321F" w:rsidRDefault="003A3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88166BF"/>
    <w:multiLevelType w:val="hybridMultilevel"/>
    <w:tmpl w:val="D2B05544"/>
    <w:lvl w:ilvl="0" w:tplc="30EE894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7251B49"/>
    <w:multiLevelType w:val="hybridMultilevel"/>
    <w:tmpl w:val="48A8E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9F42FE"/>
    <w:multiLevelType w:val="hybridMultilevel"/>
    <w:tmpl w:val="11C8AD60"/>
    <w:lvl w:ilvl="0" w:tplc="3E42CF88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D68EC"/>
    <w:multiLevelType w:val="hybridMultilevel"/>
    <w:tmpl w:val="C69A81F8"/>
    <w:lvl w:ilvl="0" w:tplc="30EE894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A2C13"/>
    <w:multiLevelType w:val="hybridMultilevel"/>
    <w:tmpl w:val="13644E06"/>
    <w:lvl w:ilvl="0" w:tplc="74B0E09C">
      <w:start w:val="1"/>
      <w:numFmt w:val="decimal"/>
      <w:lvlText w:val="ПО %1"/>
      <w:lvlJc w:val="left"/>
      <w:pPr>
        <w:ind w:left="2138" w:hanging="360"/>
      </w:pPr>
      <w:rPr>
        <w:rFonts w:hint="default"/>
      </w:rPr>
    </w:lvl>
    <w:lvl w:ilvl="1" w:tplc="74B0E09C">
      <w:start w:val="1"/>
      <w:numFmt w:val="decimal"/>
      <w:lvlText w:val="ПО 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634F8"/>
    <w:multiLevelType w:val="hybridMultilevel"/>
    <w:tmpl w:val="A6EA0FBC"/>
    <w:lvl w:ilvl="0" w:tplc="CD0CCD94">
      <w:start w:val="1"/>
      <w:numFmt w:val="decimal"/>
      <w:lvlText w:val="У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834C3"/>
    <w:multiLevelType w:val="hybridMultilevel"/>
    <w:tmpl w:val="B1A0F426"/>
    <w:lvl w:ilvl="0" w:tplc="4E5A6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12C78"/>
    <w:multiLevelType w:val="hybridMultilevel"/>
    <w:tmpl w:val="59848E86"/>
    <w:lvl w:ilvl="0" w:tplc="30EE8946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2194FB9"/>
    <w:multiLevelType w:val="hybridMultilevel"/>
    <w:tmpl w:val="403CD2D6"/>
    <w:lvl w:ilvl="0" w:tplc="30EE8946">
      <w:start w:val="1"/>
      <w:numFmt w:val="bullet"/>
      <w:lvlText w:val="-"/>
      <w:lvlJc w:val="left"/>
      <w:pPr>
        <w:ind w:left="1080" w:hanging="360"/>
      </w:p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FB3C3E"/>
    <w:multiLevelType w:val="hybridMultilevel"/>
    <w:tmpl w:val="A88C8B92"/>
    <w:lvl w:ilvl="0" w:tplc="30EE8946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CFF4C97"/>
    <w:multiLevelType w:val="hybridMultilevel"/>
    <w:tmpl w:val="4FB2C6EC"/>
    <w:lvl w:ilvl="0" w:tplc="C43EF7A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B1515"/>
    <w:multiLevelType w:val="hybridMultilevel"/>
    <w:tmpl w:val="D166C00A"/>
    <w:lvl w:ilvl="0" w:tplc="C0BC951C">
      <w:start w:val="1"/>
      <w:numFmt w:val="decimal"/>
      <w:lvlText w:val="З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F07E0"/>
    <w:multiLevelType w:val="hybridMultilevel"/>
    <w:tmpl w:val="B08A3868"/>
    <w:lvl w:ilvl="0" w:tplc="30EE894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16"/>
  </w:num>
  <w:num w:numId="8">
    <w:abstractNumId w:val="4"/>
  </w:num>
  <w:num w:numId="9">
    <w:abstractNumId w:val="10"/>
  </w:num>
  <w:num w:numId="10">
    <w:abstractNumId w:val="9"/>
  </w:num>
  <w:num w:numId="11">
    <w:abstractNumId w:val="8"/>
  </w:num>
  <w:num w:numId="12">
    <w:abstractNumId w:val="17"/>
  </w:num>
  <w:num w:numId="13">
    <w:abstractNumId w:val="6"/>
  </w:num>
  <w:num w:numId="14">
    <w:abstractNumId w:val="18"/>
  </w:num>
  <w:num w:numId="15">
    <w:abstractNumId w:val="12"/>
  </w:num>
  <w:num w:numId="16">
    <w:abstractNumId w:val="7"/>
  </w:num>
  <w:num w:numId="17">
    <w:abstractNumId w:val="15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40B"/>
    <w:rsid w:val="00014EEC"/>
    <w:rsid w:val="000254C6"/>
    <w:rsid w:val="00034C2D"/>
    <w:rsid w:val="00042912"/>
    <w:rsid w:val="00046D4D"/>
    <w:rsid w:val="00047A75"/>
    <w:rsid w:val="00050865"/>
    <w:rsid w:val="00054252"/>
    <w:rsid w:val="000542D9"/>
    <w:rsid w:val="00055F8D"/>
    <w:rsid w:val="00076907"/>
    <w:rsid w:val="00082126"/>
    <w:rsid w:val="000A11EF"/>
    <w:rsid w:val="000B56FC"/>
    <w:rsid w:val="000C0B42"/>
    <w:rsid w:val="000D6F2D"/>
    <w:rsid w:val="000E0E0E"/>
    <w:rsid w:val="000E454F"/>
    <w:rsid w:val="000E4B0B"/>
    <w:rsid w:val="000F1AAB"/>
    <w:rsid w:val="000F1BE8"/>
    <w:rsid w:val="000F2047"/>
    <w:rsid w:val="0010188E"/>
    <w:rsid w:val="00101959"/>
    <w:rsid w:val="00106132"/>
    <w:rsid w:val="0012164C"/>
    <w:rsid w:val="00122ECB"/>
    <w:rsid w:val="00134A64"/>
    <w:rsid w:val="00134C17"/>
    <w:rsid w:val="001405F0"/>
    <w:rsid w:val="0014092F"/>
    <w:rsid w:val="00157EC5"/>
    <w:rsid w:val="00160E9B"/>
    <w:rsid w:val="001615F8"/>
    <w:rsid w:val="001728C1"/>
    <w:rsid w:val="001758E0"/>
    <w:rsid w:val="00176EF5"/>
    <w:rsid w:val="00180421"/>
    <w:rsid w:val="0019018A"/>
    <w:rsid w:val="001A33CA"/>
    <w:rsid w:val="001A6DA9"/>
    <w:rsid w:val="001B0432"/>
    <w:rsid w:val="001B362E"/>
    <w:rsid w:val="001B511B"/>
    <w:rsid w:val="001B5A20"/>
    <w:rsid w:val="001C7D4C"/>
    <w:rsid w:val="001D3373"/>
    <w:rsid w:val="001D378F"/>
    <w:rsid w:val="001E238D"/>
    <w:rsid w:val="001E40A5"/>
    <w:rsid w:val="001E4958"/>
    <w:rsid w:val="001F32C7"/>
    <w:rsid w:val="00212E9F"/>
    <w:rsid w:val="00220E92"/>
    <w:rsid w:val="00222801"/>
    <w:rsid w:val="00226376"/>
    <w:rsid w:val="0022692E"/>
    <w:rsid w:val="00243730"/>
    <w:rsid w:val="00252DB1"/>
    <w:rsid w:val="00270890"/>
    <w:rsid w:val="002871E0"/>
    <w:rsid w:val="002A0FC0"/>
    <w:rsid w:val="002C18D6"/>
    <w:rsid w:val="002C773C"/>
    <w:rsid w:val="002D01D3"/>
    <w:rsid w:val="002D20F9"/>
    <w:rsid w:val="002D2B2B"/>
    <w:rsid w:val="002F4D93"/>
    <w:rsid w:val="00300E00"/>
    <w:rsid w:val="00303659"/>
    <w:rsid w:val="003041BD"/>
    <w:rsid w:val="00306938"/>
    <w:rsid w:val="00311953"/>
    <w:rsid w:val="0031681C"/>
    <w:rsid w:val="00316D08"/>
    <w:rsid w:val="003216A4"/>
    <w:rsid w:val="0032199B"/>
    <w:rsid w:val="00355E1C"/>
    <w:rsid w:val="003632B4"/>
    <w:rsid w:val="00363395"/>
    <w:rsid w:val="00376B7C"/>
    <w:rsid w:val="00376CE9"/>
    <w:rsid w:val="00390975"/>
    <w:rsid w:val="0039697B"/>
    <w:rsid w:val="003A154E"/>
    <w:rsid w:val="003A1618"/>
    <w:rsid w:val="003A321F"/>
    <w:rsid w:val="003A4CFA"/>
    <w:rsid w:val="003D3079"/>
    <w:rsid w:val="003D73C6"/>
    <w:rsid w:val="003E03D6"/>
    <w:rsid w:val="003E1CE2"/>
    <w:rsid w:val="003E72FB"/>
    <w:rsid w:val="003F0A9B"/>
    <w:rsid w:val="00402266"/>
    <w:rsid w:val="00403386"/>
    <w:rsid w:val="00416B85"/>
    <w:rsid w:val="00432715"/>
    <w:rsid w:val="00434DFD"/>
    <w:rsid w:val="004415ED"/>
    <w:rsid w:val="0044646F"/>
    <w:rsid w:val="004513CF"/>
    <w:rsid w:val="0045523D"/>
    <w:rsid w:val="004565D0"/>
    <w:rsid w:val="00456704"/>
    <w:rsid w:val="00460E3C"/>
    <w:rsid w:val="00464036"/>
    <w:rsid w:val="004658FA"/>
    <w:rsid w:val="00473B70"/>
    <w:rsid w:val="004819B7"/>
    <w:rsid w:val="00483866"/>
    <w:rsid w:val="004872EF"/>
    <w:rsid w:val="00495CD9"/>
    <w:rsid w:val="00496B1F"/>
    <w:rsid w:val="004A5010"/>
    <w:rsid w:val="004A53FF"/>
    <w:rsid w:val="004B0BCA"/>
    <w:rsid w:val="004B3DBF"/>
    <w:rsid w:val="004B4F2B"/>
    <w:rsid w:val="004B6565"/>
    <w:rsid w:val="004B71F7"/>
    <w:rsid w:val="004B7A0B"/>
    <w:rsid w:val="004C476F"/>
    <w:rsid w:val="004C569B"/>
    <w:rsid w:val="004C7B0C"/>
    <w:rsid w:val="004D1076"/>
    <w:rsid w:val="004D279E"/>
    <w:rsid w:val="004D469E"/>
    <w:rsid w:val="004E0F14"/>
    <w:rsid w:val="004F470E"/>
    <w:rsid w:val="004F5129"/>
    <w:rsid w:val="005013E2"/>
    <w:rsid w:val="00501F18"/>
    <w:rsid w:val="00503688"/>
    <w:rsid w:val="005049B7"/>
    <w:rsid w:val="005108EF"/>
    <w:rsid w:val="00517314"/>
    <w:rsid w:val="00526CB8"/>
    <w:rsid w:val="00530C9A"/>
    <w:rsid w:val="005355EC"/>
    <w:rsid w:val="00543AAE"/>
    <w:rsid w:val="00546C51"/>
    <w:rsid w:val="00554EDB"/>
    <w:rsid w:val="00577C0A"/>
    <w:rsid w:val="0059176C"/>
    <w:rsid w:val="0059292E"/>
    <w:rsid w:val="0059680E"/>
    <w:rsid w:val="005A2455"/>
    <w:rsid w:val="005C5B79"/>
    <w:rsid w:val="005D2967"/>
    <w:rsid w:val="005D2E69"/>
    <w:rsid w:val="005E00A4"/>
    <w:rsid w:val="005E2323"/>
    <w:rsid w:val="005E2B00"/>
    <w:rsid w:val="005F18A0"/>
    <w:rsid w:val="005F786E"/>
    <w:rsid w:val="00602E06"/>
    <w:rsid w:val="00606C54"/>
    <w:rsid w:val="00615DD7"/>
    <w:rsid w:val="00621486"/>
    <w:rsid w:val="00631FAC"/>
    <w:rsid w:val="006473AF"/>
    <w:rsid w:val="00650295"/>
    <w:rsid w:val="0065234F"/>
    <w:rsid w:val="00661BFA"/>
    <w:rsid w:val="00675AF5"/>
    <w:rsid w:val="0068032B"/>
    <w:rsid w:val="00685ADE"/>
    <w:rsid w:val="006866EA"/>
    <w:rsid w:val="00690DD8"/>
    <w:rsid w:val="00694828"/>
    <w:rsid w:val="006A1A62"/>
    <w:rsid w:val="006C4EDB"/>
    <w:rsid w:val="006D24D2"/>
    <w:rsid w:val="006D51C4"/>
    <w:rsid w:val="006D7B7C"/>
    <w:rsid w:val="006E232A"/>
    <w:rsid w:val="006E6185"/>
    <w:rsid w:val="006F7515"/>
    <w:rsid w:val="007006E4"/>
    <w:rsid w:val="0072340B"/>
    <w:rsid w:val="00725BDC"/>
    <w:rsid w:val="00731EB8"/>
    <w:rsid w:val="007328AF"/>
    <w:rsid w:val="00746A1B"/>
    <w:rsid w:val="00747671"/>
    <w:rsid w:val="0075188E"/>
    <w:rsid w:val="007721E0"/>
    <w:rsid w:val="0077640B"/>
    <w:rsid w:val="00782F94"/>
    <w:rsid w:val="0079545B"/>
    <w:rsid w:val="00797B01"/>
    <w:rsid w:val="007A6A2A"/>
    <w:rsid w:val="007B11B4"/>
    <w:rsid w:val="007B641C"/>
    <w:rsid w:val="007B679A"/>
    <w:rsid w:val="007D5881"/>
    <w:rsid w:val="007D71F0"/>
    <w:rsid w:val="007E1DAB"/>
    <w:rsid w:val="007F0165"/>
    <w:rsid w:val="007F33BE"/>
    <w:rsid w:val="00810451"/>
    <w:rsid w:val="008126AF"/>
    <w:rsid w:val="0083756D"/>
    <w:rsid w:val="00844CC7"/>
    <w:rsid w:val="0084569C"/>
    <w:rsid w:val="00851230"/>
    <w:rsid w:val="0085512E"/>
    <w:rsid w:val="00855F73"/>
    <w:rsid w:val="00855FDF"/>
    <w:rsid w:val="0086127E"/>
    <w:rsid w:val="00861AAE"/>
    <w:rsid w:val="0086541F"/>
    <w:rsid w:val="00870693"/>
    <w:rsid w:val="00883B42"/>
    <w:rsid w:val="008927E5"/>
    <w:rsid w:val="008958EB"/>
    <w:rsid w:val="008A2DF7"/>
    <w:rsid w:val="008A790E"/>
    <w:rsid w:val="008C77C8"/>
    <w:rsid w:val="008D2DBE"/>
    <w:rsid w:val="008F3327"/>
    <w:rsid w:val="008F76D5"/>
    <w:rsid w:val="008F76E2"/>
    <w:rsid w:val="00904AA9"/>
    <w:rsid w:val="009054A4"/>
    <w:rsid w:val="009071DF"/>
    <w:rsid w:val="00911E8D"/>
    <w:rsid w:val="0093157F"/>
    <w:rsid w:val="009338C4"/>
    <w:rsid w:val="0093652D"/>
    <w:rsid w:val="0094347D"/>
    <w:rsid w:val="009447FD"/>
    <w:rsid w:val="00965F13"/>
    <w:rsid w:val="0096761B"/>
    <w:rsid w:val="00971FAD"/>
    <w:rsid w:val="0097368D"/>
    <w:rsid w:val="00974FB7"/>
    <w:rsid w:val="009755E0"/>
    <w:rsid w:val="00980A43"/>
    <w:rsid w:val="00987949"/>
    <w:rsid w:val="009906DD"/>
    <w:rsid w:val="00990B59"/>
    <w:rsid w:val="0099225F"/>
    <w:rsid w:val="00992F31"/>
    <w:rsid w:val="009B2547"/>
    <w:rsid w:val="009C3207"/>
    <w:rsid w:val="009E7B28"/>
    <w:rsid w:val="00A0095F"/>
    <w:rsid w:val="00A20A8B"/>
    <w:rsid w:val="00A44027"/>
    <w:rsid w:val="00A449F0"/>
    <w:rsid w:val="00A46DE8"/>
    <w:rsid w:val="00A47828"/>
    <w:rsid w:val="00A6002A"/>
    <w:rsid w:val="00A96BBC"/>
    <w:rsid w:val="00AC1B3F"/>
    <w:rsid w:val="00AD5100"/>
    <w:rsid w:val="00AD5434"/>
    <w:rsid w:val="00AE5CFD"/>
    <w:rsid w:val="00AF4222"/>
    <w:rsid w:val="00AF7C29"/>
    <w:rsid w:val="00B00A8F"/>
    <w:rsid w:val="00B14E3A"/>
    <w:rsid w:val="00B2137E"/>
    <w:rsid w:val="00B24969"/>
    <w:rsid w:val="00B4442F"/>
    <w:rsid w:val="00B4581E"/>
    <w:rsid w:val="00B5266F"/>
    <w:rsid w:val="00B55324"/>
    <w:rsid w:val="00B74ADA"/>
    <w:rsid w:val="00B90368"/>
    <w:rsid w:val="00B93D09"/>
    <w:rsid w:val="00BA0117"/>
    <w:rsid w:val="00BA0F4F"/>
    <w:rsid w:val="00BA45D4"/>
    <w:rsid w:val="00BD247D"/>
    <w:rsid w:val="00BD25AD"/>
    <w:rsid w:val="00BD3C96"/>
    <w:rsid w:val="00BD48B5"/>
    <w:rsid w:val="00BE602F"/>
    <w:rsid w:val="00BE61FD"/>
    <w:rsid w:val="00BF0681"/>
    <w:rsid w:val="00BF5766"/>
    <w:rsid w:val="00BF786A"/>
    <w:rsid w:val="00C153A2"/>
    <w:rsid w:val="00C17FF3"/>
    <w:rsid w:val="00C2062B"/>
    <w:rsid w:val="00C23CFA"/>
    <w:rsid w:val="00C31A08"/>
    <w:rsid w:val="00C5332E"/>
    <w:rsid w:val="00C60F06"/>
    <w:rsid w:val="00C804F6"/>
    <w:rsid w:val="00C83EA9"/>
    <w:rsid w:val="00CA1EEB"/>
    <w:rsid w:val="00CA2983"/>
    <w:rsid w:val="00CA6AD7"/>
    <w:rsid w:val="00CC341F"/>
    <w:rsid w:val="00CC4E09"/>
    <w:rsid w:val="00CD38AC"/>
    <w:rsid w:val="00CD59E0"/>
    <w:rsid w:val="00CD733F"/>
    <w:rsid w:val="00CE5CEA"/>
    <w:rsid w:val="00D048C4"/>
    <w:rsid w:val="00D04A9C"/>
    <w:rsid w:val="00D11278"/>
    <w:rsid w:val="00D11FD9"/>
    <w:rsid w:val="00D12993"/>
    <w:rsid w:val="00D21A4C"/>
    <w:rsid w:val="00D26CFE"/>
    <w:rsid w:val="00D30629"/>
    <w:rsid w:val="00D31F9D"/>
    <w:rsid w:val="00D36B1D"/>
    <w:rsid w:val="00D40619"/>
    <w:rsid w:val="00D40851"/>
    <w:rsid w:val="00D64227"/>
    <w:rsid w:val="00D67907"/>
    <w:rsid w:val="00D71ADC"/>
    <w:rsid w:val="00D71E7C"/>
    <w:rsid w:val="00D84C66"/>
    <w:rsid w:val="00D942DE"/>
    <w:rsid w:val="00DA3CE1"/>
    <w:rsid w:val="00DB0243"/>
    <w:rsid w:val="00DD2615"/>
    <w:rsid w:val="00DE24A4"/>
    <w:rsid w:val="00E07F4A"/>
    <w:rsid w:val="00E201D5"/>
    <w:rsid w:val="00E22891"/>
    <w:rsid w:val="00E22B7B"/>
    <w:rsid w:val="00E25051"/>
    <w:rsid w:val="00E25CC9"/>
    <w:rsid w:val="00E260EC"/>
    <w:rsid w:val="00E34F02"/>
    <w:rsid w:val="00E47BED"/>
    <w:rsid w:val="00E50BA5"/>
    <w:rsid w:val="00E52266"/>
    <w:rsid w:val="00E54993"/>
    <w:rsid w:val="00E719B4"/>
    <w:rsid w:val="00E73192"/>
    <w:rsid w:val="00E76DDE"/>
    <w:rsid w:val="00E848E8"/>
    <w:rsid w:val="00E93FFA"/>
    <w:rsid w:val="00E966F5"/>
    <w:rsid w:val="00EA4FD9"/>
    <w:rsid w:val="00EB21B8"/>
    <w:rsid w:val="00EC1AE2"/>
    <w:rsid w:val="00EC2B40"/>
    <w:rsid w:val="00EE1754"/>
    <w:rsid w:val="00EE1C53"/>
    <w:rsid w:val="00EE5660"/>
    <w:rsid w:val="00EE5DA6"/>
    <w:rsid w:val="00EE7FB8"/>
    <w:rsid w:val="00EF4292"/>
    <w:rsid w:val="00EF4F69"/>
    <w:rsid w:val="00F056D7"/>
    <w:rsid w:val="00F0652C"/>
    <w:rsid w:val="00F22EA1"/>
    <w:rsid w:val="00F37BAC"/>
    <w:rsid w:val="00F45391"/>
    <w:rsid w:val="00F5243B"/>
    <w:rsid w:val="00F53E6C"/>
    <w:rsid w:val="00F87D7A"/>
    <w:rsid w:val="00F91188"/>
    <w:rsid w:val="00F9531A"/>
    <w:rsid w:val="00F966BA"/>
    <w:rsid w:val="00FC5644"/>
    <w:rsid w:val="00FD0505"/>
    <w:rsid w:val="00FD6CE4"/>
    <w:rsid w:val="00FF5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7D3D74"/>
  <w15:docId w15:val="{5A827EF5-2368-4068-98BE-B71A85642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C60F06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50BA5"/>
    <w:rPr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4B656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77640B"/>
    <w:pPr>
      <w:ind w:left="566" w:hanging="283"/>
    </w:pPr>
  </w:style>
  <w:style w:type="paragraph" w:styleId="22">
    <w:name w:val="Body Text Indent 2"/>
    <w:basedOn w:val="a"/>
    <w:link w:val="23"/>
    <w:uiPriority w:val="99"/>
    <w:rsid w:val="0077640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locked/>
    <w:rsid w:val="004B6565"/>
    <w:rPr>
      <w:sz w:val="24"/>
      <w:szCs w:val="24"/>
    </w:rPr>
  </w:style>
  <w:style w:type="paragraph" w:styleId="a4">
    <w:name w:val="footnote text"/>
    <w:basedOn w:val="a"/>
    <w:link w:val="a5"/>
    <w:uiPriority w:val="99"/>
    <w:semiHidden/>
    <w:rsid w:val="0077640B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4B6565"/>
    <w:rPr>
      <w:sz w:val="20"/>
      <w:szCs w:val="20"/>
    </w:rPr>
  </w:style>
  <w:style w:type="character" w:styleId="a6">
    <w:name w:val="footnote reference"/>
    <w:uiPriority w:val="99"/>
    <w:semiHidden/>
    <w:rsid w:val="0077640B"/>
    <w:rPr>
      <w:vertAlign w:val="superscript"/>
    </w:rPr>
  </w:style>
  <w:style w:type="paragraph" w:styleId="24">
    <w:name w:val="Body Text 2"/>
    <w:basedOn w:val="a"/>
    <w:link w:val="25"/>
    <w:uiPriority w:val="99"/>
    <w:rsid w:val="0077640B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locked/>
    <w:rsid w:val="004B6565"/>
    <w:rPr>
      <w:sz w:val="24"/>
      <w:szCs w:val="24"/>
    </w:rPr>
  </w:style>
  <w:style w:type="paragraph" w:styleId="a7">
    <w:name w:val="Body Text"/>
    <w:basedOn w:val="a"/>
    <w:link w:val="a8"/>
    <w:uiPriority w:val="99"/>
    <w:rsid w:val="0077640B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77640B"/>
    <w:rPr>
      <w:sz w:val="24"/>
      <w:szCs w:val="24"/>
      <w:lang w:val="ru-RU" w:eastAsia="ru-RU"/>
    </w:rPr>
  </w:style>
  <w:style w:type="paragraph" w:customStyle="1" w:styleId="a9">
    <w:name w:val="Знак"/>
    <w:basedOn w:val="a"/>
    <w:uiPriority w:val="99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764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A790E"/>
    <w:rPr>
      <w:sz w:val="24"/>
      <w:szCs w:val="24"/>
    </w:rPr>
  </w:style>
  <w:style w:type="character" w:styleId="ac">
    <w:name w:val="page number"/>
    <w:basedOn w:val="a0"/>
    <w:uiPriority w:val="99"/>
    <w:rsid w:val="0077640B"/>
  </w:style>
  <w:style w:type="table" w:styleId="ad">
    <w:name w:val="Table Grid"/>
    <w:basedOn w:val="a1"/>
    <w:uiPriority w:val="9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uiPriority w:val="99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uiPriority w:val="99"/>
    <w:semiHidden/>
    <w:rsid w:val="00456704"/>
    <w:rPr>
      <w:sz w:val="2"/>
      <w:szCs w:val="2"/>
    </w:rPr>
  </w:style>
  <w:style w:type="character" w:customStyle="1" w:styleId="af">
    <w:name w:val="Текст выноски Знак"/>
    <w:link w:val="ae"/>
    <w:uiPriority w:val="99"/>
    <w:semiHidden/>
    <w:locked/>
    <w:rsid w:val="004B6565"/>
    <w:rPr>
      <w:sz w:val="2"/>
      <w:szCs w:val="2"/>
    </w:rPr>
  </w:style>
  <w:style w:type="paragraph" w:styleId="af0">
    <w:name w:val="List"/>
    <w:basedOn w:val="a"/>
    <w:uiPriority w:val="99"/>
    <w:rsid w:val="002871E0"/>
    <w:pPr>
      <w:ind w:left="283" w:hanging="283"/>
    </w:pPr>
  </w:style>
  <w:style w:type="paragraph" w:customStyle="1" w:styleId="210">
    <w:name w:val="Список 21"/>
    <w:basedOn w:val="a"/>
    <w:uiPriority w:val="99"/>
    <w:rsid w:val="00C60F06"/>
    <w:pPr>
      <w:suppressAutoHyphens/>
      <w:ind w:left="566" w:hanging="283"/>
    </w:pPr>
    <w:rPr>
      <w:rFonts w:ascii="Arial" w:hAnsi="Arial" w:cs="Arial"/>
      <w:lang w:eastAsia="ar-SA"/>
    </w:rPr>
  </w:style>
  <w:style w:type="paragraph" w:customStyle="1" w:styleId="12">
    <w:name w:val="Заголовок1"/>
    <w:basedOn w:val="a"/>
    <w:next w:val="a7"/>
    <w:uiPriority w:val="99"/>
    <w:rsid w:val="00C60F06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character" w:customStyle="1" w:styleId="fontuch">
    <w:name w:val="fontuch"/>
    <w:basedOn w:val="a0"/>
    <w:uiPriority w:val="99"/>
    <w:rsid w:val="00C60F06"/>
  </w:style>
  <w:style w:type="paragraph" w:styleId="af1">
    <w:name w:val="header"/>
    <w:basedOn w:val="a"/>
    <w:link w:val="af2"/>
    <w:uiPriority w:val="99"/>
    <w:rsid w:val="008A790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locked/>
    <w:rsid w:val="008A790E"/>
    <w:rPr>
      <w:sz w:val="24"/>
      <w:szCs w:val="24"/>
    </w:rPr>
  </w:style>
  <w:style w:type="paragraph" w:styleId="af3">
    <w:name w:val="Subtitle"/>
    <w:basedOn w:val="a"/>
    <w:next w:val="a"/>
    <w:link w:val="af4"/>
    <w:uiPriority w:val="99"/>
    <w:qFormat/>
    <w:rsid w:val="007F33BE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f4">
    <w:name w:val="Подзаголовок Знак"/>
    <w:link w:val="af3"/>
    <w:uiPriority w:val="99"/>
    <w:locked/>
    <w:rsid w:val="007F33BE"/>
    <w:rPr>
      <w:rFonts w:ascii="Cambria" w:hAnsi="Cambria" w:cs="Cambria"/>
      <w:sz w:val="24"/>
      <w:szCs w:val="24"/>
    </w:rPr>
  </w:style>
  <w:style w:type="paragraph" w:styleId="af5">
    <w:name w:val="No Spacing"/>
    <w:basedOn w:val="a"/>
    <w:uiPriority w:val="99"/>
    <w:qFormat/>
    <w:rsid w:val="00746A1B"/>
  </w:style>
  <w:style w:type="character" w:styleId="af6">
    <w:name w:val="Hyperlink"/>
    <w:uiPriority w:val="99"/>
    <w:rsid w:val="00D26CFE"/>
    <w:rPr>
      <w:color w:val="0000FF"/>
      <w:u w:val="single"/>
    </w:rPr>
  </w:style>
  <w:style w:type="paragraph" w:styleId="af7">
    <w:name w:val="List Paragraph"/>
    <w:basedOn w:val="a"/>
    <w:uiPriority w:val="34"/>
    <w:qFormat/>
    <w:rsid w:val="00CE5CEA"/>
    <w:pPr>
      <w:ind w:left="720"/>
      <w:contextualSpacing/>
    </w:pPr>
  </w:style>
  <w:style w:type="character" w:customStyle="1" w:styleId="FontStyle14">
    <w:name w:val="Font Style14"/>
    <w:rsid w:val="00CE5CEA"/>
    <w:rPr>
      <w:rFonts w:ascii="Times New Roman" w:hAnsi="Times New Roman" w:cs="Times New Roman"/>
      <w:sz w:val="24"/>
      <w:szCs w:val="24"/>
    </w:rPr>
  </w:style>
  <w:style w:type="paragraph" w:customStyle="1" w:styleId="13">
    <w:name w:val="Без интервала1"/>
    <w:rsid w:val="00861AAE"/>
    <w:rPr>
      <w:rFonts w:ascii="Calibri" w:hAnsi="Calibri"/>
      <w:sz w:val="22"/>
      <w:szCs w:val="22"/>
    </w:rPr>
  </w:style>
  <w:style w:type="paragraph" w:customStyle="1" w:styleId="14">
    <w:name w:val="Абзац списка1"/>
    <w:basedOn w:val="a"/>
    <w:rsid w:val="00861AA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3A19B-0DC9-4CB0-943D-B11BF0E2F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1</dc:creator>
  <cp:lastModifiedBy>Светлана Арутюнова</cp:lastModifiedBy>
  <cp:revision>12</cp:revision>
  <cp:lastPrinted>2023-06-29T10:58:00Z</cp:lastPrinted>
  <dcterms:created xsi:type="dcterms:W3CDTF">2017-07-05T11:40:00Z</dcterms:created>
  <dcterms:modified xsi:type="dcterms:W3CDTF">2023-06-29T10:59:00Z</dcterms:modified>
</cp:coreProperties>
</file>