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D4" w:rsidRPr="001337B7" w:rsidRDefault="00241053" w:rsidP="00752AD4">
      <w:pPr>
        <w:pStyle w:val="a8"/>
        <w:jc w:val="center"/>
        <w:rPr>
          <w:b/>
          <w:sz w:val="28"/>
          <w:szCs w:val="28"/>
        </w:rPr>
      </w:pPr>
      <w:r w:rsidRPr="001337B7">
        <w:rPr>
          <w:b/>
          <w:sz w:val="28"/>
          <w:szCs w:val="28"/>
        </w:rPr>
        <w:t>АННОТАЦИЯ</w:t>
      </w:r>
    </w:p>
    <w:p w:rsidR="001337B7" w:rsidRDefault="00241053" w:rsidP="001337B7">
      <w:pPr>
        <w:pStyle w:val="Style1"/>
        <w:widowControl/>
        <w:spacing w:line="274" w:lineRule="exact"/>
        <w:ind w:right="10"/>
        <w:jc w:val="center"/>
        <w:rPr>
          <w:rStyle w:val="FontStyle11"/>
          <w:b/>
          <w:sz w:val="28"/>
          <w:szCs w:val="28"/>
        </w:rPr>
      </w:pPr>
      <w:r w:rsidRPr="001337B7">
        <w:rPr>
          <w:b/>
          <w:sz w:val="28"/>
          <w:szCs w:val="28"/>
        </w:rPr>
        <w:t xml:space="preserve">К </w:t>
      </w:r>
      <w:r w:rsidR="003B589E">
        <w:rPr>
          <w:rStyle w:val="FontStyle11"/>
          <w:b/>
          <w:sz w:val="28"/>
          <w:szCs w:val="28"/>
        </w:rPr>
        <w:t>ПРОИЗВОДСТВЕННОЙ</w:t>
      </w:r>
      <w:r w:rsidR="008028E7">
        <w:rPr>
          <w:rStyle w:val="FontStyle11"/>
          <w:b/>
          <w:sz w:val="28"/>
          <w:szCs w:val="28"/>
        </w:rPr>
        <w:t xml:space="preserve"> (</w:t>
      </w:r>
      <w:r w:rsidR="008028E7" w:rsidRPr="001337B7">
        <w:rPr>
          <w:rStyle w:val="FontStyle11"/>
          <w:b/>
          <w:sz w:val="28"/>
          <w:szCs w:val="28"/>
        </w:rPr>
        <w:t>ПРЕДДИПЛОМНОЙ</w:t>
      </w:r>
      <w:r w:rsidR="008028E7">
        <w:rPr>
          <w:rStyle w:val="FontStyle11"/>
          <w:b/>
          <w:sz w:val="28"/>
          <w:szCs w:val="28"/>
        </w:rPr>
        <w:t>)</w:t>
      </w:r>
      <w:r w:rsidR="001337B7" w:rsidRPr="001337B7">
        <w:rPr>
          <w:rStyle w:val="FontStyle11"/>
          <w:b/>
          <w:sz w:val="28"/>
          <w:szCs w:val="28"/>
        </w:rPr>
        <w:t>ПРАКТИКИ</w:t>
      </w:r>
    </w:p>
    <w:p w:rsidR="001337B7" w:rsidRDefault="00752AD4" w:rsidP="00752AD4">
      <w:pPr>
        <w:pStyle w:val="a8"/>
        <w:jc w:val="center"/>
      </w:pPr>
      <w:r w:rsidRPr="00752AD4">
        <w:t>основной профессиональной образовательной программы</w:t>
      </w:r>
    </w:p>
    <w:p w:rsidR="00752AD4" w:rsidRDefault="00752AD4" w:rsidP="00752AD4">
      <w:pPr>
        <w:pStyle w:val="a8"/>
        <w:jc w:val="center"/>
      </w:pPr>
      <w:r w:rsidRPr="00752AD4">
        <w:t>по специальности СПО38.02.07 «Банковское дело»</w:t>
      </w:r>
    </w:p>
    <w:p w:rsidR="001337B7" w:rsidRDefault="001337B7" w:rsidP="001337B7">
      <w:pPr>
        <w:pStyle w:val="a8"/>
      </w:pPr>
    </w:p>
    <w:p w:rsidR="001337B7" w:rsidRPr="001337B7" w:rsidRDefault="001337B7" w:rsidP="008403B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 w:right="-185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1.</w:t>
      </w:r>
      <w:r w:rsidRPr="001337B7">
        <w:rPr>
          <w:rFonts w:ascii="Times New Roman" w:hAnsi="Times New Roman" w:cs="Times New Roman"/>
          <w:b/>
          <w:sz w:val="28"/>
          <w:szCs w:val="28"/>
          <w:lang w:eastAsia="ar-SA"/>
        </w:rPr>
        <w:t>Область применения программы</w:t>
      </w:r>
    </w:p>
    <w:p w:rsidR="001337B7" w:rsidRPr="001337B7" w:rsidRDefault="001337B7" w:rsidP="00840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 (преддипломной)   является с</w:t>
      </w:r>
      <w:r w:rsidRPr="001337B7">
        <w:rPr>
          <w:rFonts w:ascii="Times New Roman" w:hAnsi="Times New Roman" w:cs="Times New Roman"/>
          <w:sz w:val="28"/>
          <w:szCs w:val="28"/>
        </w:rPr>
        <w:t>о</w:t>
      </w:r>
      <w:r w:rsidRPr="001337B7">
        <w:rPr>
          <w:rFonts w:ascii="Times New Roman" w:hAnsi="Times New Roman" w:cs="Times New Roman"/>
          <w:sz w:val="28"/>
          <w:szCs w:val="28"/>
        </w:rPr>
        <w:t>ставной частью (разделом) программы подготовки специалистов среднего звена (ППССЗ), обеспечивающей реализацию Федерального государственного образовател</w:t>
      </w:r>
      <w:r w:rsidRPr="001337B7">
        <w:rPr>
          <w:rFonts w:ascii="Times New Roman" w:hAnsi="Times New Roman" w:cs="Times New Roman"/>
          <w:sz w:val="28"/>
          <w:szCs w:val="28"/>
        </w:rPr>
        <w:t>ь</w:t>
      </w:r>
      <w:r w:rsidRPr="001337B7">
        <w:rPr>
          <w:rFonts w:ascii="Times New Roman" w:hAnsi="Times New Roman" w:cs="Times New Roman"/>
          <w:sz w:val="28"/>
          <w:szCs w:val="28"/>
        </w:rPr>
        <w:t>ного стандарта среднего профессионального образования (ФГОС СПО) по специальн</w:t>
      </w:r>
      <w:r w:rsidRPr="001337B7">
        <w:rPr>
          <w:rFonts w:ascii="Times New Roman" w:hAnsi="Times New Roman" w:cs="Times New Roman"/>
          <w:sz w:val="28"/>
          <w:szCs w:val="28"/>
        </w:rPr>
        <w:t>о</w:t>
      </w:r>
      <w:r w:rsidRPr="001337B7">
        <w:rPr>
          <w:rFonts w:ascii="Times New Roman" w:hAnsi="Times New Roman" w:cs="Times New Roman"/>
          <w:sz w:val="28"/>
          <w:szCs w:val="28"/>
        </w:rPr>
        <w:t>сти среднего професси</w:t>
      </w:r>
      <w:r w:rsidRPr="001337B7">
        <w:rPr>
          <w:rFonts w:ascii="Times New Roman" w:hAnsi="Times New Roman" w:cs="Times New Roman"/>
          <w:sz w:val="28"/>
          <w:szCs w:val="28"/>
        </w:rPr>
        <w:t>о</w:t>
      </w:r>
      <w:r w:rsidRPr="001337B7">
        <w:rPr>
          <w:rFonts w:ascii="Times New Roman" w:hAnsi="Times New Roman" w:cs="Times New Roman"/>
          <w:sz w:val="28"/>
          <w:szCs w:val="28"/>
        </w:rPr>
        <w:t>нального обра</w:t>
      </w:r>
      <w:bookmarkStart w:id="0" w:name="_GoBack"/>
      <w:bookmarkEnd w:id="0"/>
      <w:r w:rsidRPr="001337B7">
        <w:rPr>
          <w:rFonts w:ascii="Times New Roman" w:hAnsi="Times New Roman" w:cs="Times New Roman"/>
          <w:sz w:val="28"/>
          <w:szCs w:val="28"/>
        </w:rPr>
        <w:t>зования 38.02.07 Банковское дело в части проверки готовности обучающегося к самостоятельной трудовой деятельности по основным видам профессиональной деятельности (ВПД):</w:t>
      </w:r>
    </w:p>
    <w:p w:rsidR="001337B7" w:rsidRPr="001337B7" w:rsidRDefault="001337B7" w:rsidP="00840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ведение расчетных операций;</w:t>
      </w:r>
    </w:p>
    <w:p w:rsidR="001337B7" w:rsidRPr="001337B7" w:rsidRDefault="001337B7" w:rsidP="00840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ведение кассовых операций;</w:t>
      </w:r>
    </w:p>
    <w:p w:rsidR="001337B7" w:rsidRPr="001337B7" w:rsidRDefault="001337B7" w:rsidP="008403B4">
      <w:pPr>
        <w:spacing w:after="0" w:line="240" w:lineRule="auto"/>
        <w:ind w:firstLine="709"/>
        <w:jc w:val="both"/>
        <w:rPr>
          <w:rStyle w:val="FontStyle46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-осуществление кредитных операций и развития соответствующих профессионал</w:t>
      </w:r>
      <w:r w:rsidRPr="001337B7">
        <w:rPr>
          <w:rFonts w:ascii="Times New Roman" w:hAnsi="Times New Roman" w:cs="Times New Roman"/>
          <w:sz w:val="28"/>
          <w:szCs w:val="28"/>
        </w:rPr>
        <w:t>ь</w:t>
      </w:r>
      <w:r w:rsidRPr="001337B7">
        <w:rPr>
          <w:rFonts w:ascii="Times New Roman" w:hAnsi="Times New Roman" w:cs="Times New Roman"/>
          <w:sz w:val="28"/>
          <w:szCs w:val="28"/>
        </w:rPr>
        <w:t xml:space="preserve">ных компетенций </w:t>
      </w:r>
    </w:p>
    <w:p w:rsidR="001337B7" w:rsidRPr="001337B7" w:rsidRDefault="001337B7" w:rsidP="0084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Производственная практика (преддипломная) обучающихся является завершающим этапом и проводится после освоения ППССЗ и сдачи студентами всех видов промеж</w:t>
      </w:r>
      <w:r w:rsidRPr="001337B7">
        <w:rPr>
          <w:rFonts w:ascii="Times New Roman" w:hAnsi="Times New Roman" w:cs="Times New Roman"/>
          <w:sz w:val="28"/>
          <w:szCs w:val="28"/>
        </w:rPr>
        <w:t>у</w:t>
      </w:r>
      <w:r w:rsidRPr="001337B7">
        <w:rPr>
          <w:rFonts w:ascii="Times New Roman" w:hAnsi="Times New Roman" w:cs="Times New Roman"/>
          <w:sz w:val="28"/>
          <w:szCs w:val="28"/>
        </w:rPr>
        <w:t>точной аттестации, предусмотренных ФГОС.</w:t>
      </w:r>
    </w:p>
    <w:p w:rsidR="001337B7" w:rsidRPr="001337B7" w:rsidRDefault="001337B7" w:rsidP="0084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37B7" w:rsidRPr="001337B7" w:rsidRDefault="001337B7" w:rsidP="008403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1337B7">
        <w:rPr>
          <w:rFonts w:ascii="Times New Roman" w:hAnsi="Times New Roman" w:cs="Times New Roman"/>
          <w:b/>
          <w:sz w:val="28"/>
          <w:szCs w:val="28"/>
        </w:rPr>
        <w:t>Цели и задачи преддипломной</w:t>
      </w:r>
      <w:r w:rsidR="003B589E">
        <w:rPr>
          <w:rFonts w:ascii="Times New Roman" w:hAnsi="Times New Roman" w:cs="Times New Roman"/>
          <w:b/>
          <w:sz w:val="28"/>
          <w:szCs w:val="28"/>
        </w:rPr>
        <w:t xml:space="preserve"> (производственной)</w:t>
      </w:r>
      <w:r w:rsidRPr="001337B7">
        <w:rPr>
          <w:rFonts w:ascii="Times New Roman" w:hAnsi="Times New Roman" w:cs="Times New Roman"/>
          <w:b/>
          <w:sz w:val="28"/>
          <w:szCs w:val="28"/>
        </w:rPr>
        <w:t xml:space="preserve">  практики – требования к результатам освоения пр</w:t>
      </w:r>
      <w:r w:rsidRPr="001337B7">
        <w:rPr>
          <w:rFonts w:ascii="Times New Roman" w:hAnsi="Times New Roman" w:cs="Times New Roman"/>
          <w:b/>
          <w:sz w:val="28"/>
          <w:szCs w:val="28"/>
        </w:rPr>
        <w:t>о</w:t>
      </w:r>
      <w:r w:rsidRPr="001337B7">
        <w:rPr>
          <w:rFonts w:ascii="Times New Roman" w:hAnsi="Times New Roman" w:cs="Times New Roman"/>
          <w:b/>
          <w:sz w:val="28"/>
          <w:szCs w:val="28"/>
        </w:rPr>
        <w:t>граммы преддипломной практики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Целью преддипломной практики является:</w:t>
      </w:r>
    </w:p>
    <w:p w:rsidR="00F74EF5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 xml:space="preserve">- формирование общих и профессиональных  компетенций: ОК 1 – ОК – 12, ПК 1.1, ПК 1.2, ПК 1.3., ПК 1.4, ПК 1.5, ПК 1.6,  ПК 2.1., ПК 2.2, ПК 2.3, ПК 2.4, ПК 2.5,  </w:t>
      </w:r>
      <w:r w:rsidR="008403B4">
        <w:rPr>
          <w:rFonts w:ascii="Times New Roman" w:hAnsi="Times New Roman" w:cs="Times New Roman"/>
          <w:sz w:val="28"/>
          <w:szCs w:val="28"/>
        </w:rPr>
        <w:t>ЛР1-23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комплексное освоение обучающимися видов профессиональной деятельности: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сбор и систематизация материалов по теме дипломной работы.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Задачами преддипломной практики являются: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закрепление и совершенствование приобретенного в процессе обучения опыта практ</w:t>
      </w:r>
      <w:r w:rsidRPr="001337B7">
        <w:rPr>
          <w:rFonts w:ascii="Times New Roman" w:hAnsi="Times New Roman" w:cs="Times New Roman"/>
          <w:sz w:val="28"/>
          <w:szCs w:val="28"/>
        </w:rPr>
        <w:t>и</w:t>
      </w:r>
      <w:r w:rsidRPr="001337B7">
        <w:rPr>
          <w:rFonts w:ascii="Times New Roman" w:hAnsi="Times New Roman" w:cs="Times New Roman"/>
          <w:sz w:val="28"/>
          <w:szCs w:val="28"/>
        </w:rPr>
        <w:t>ческой деятельности обучающихся в сфере изучаемой профессии;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развитие общих и профессиональных компетенций;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освоение современных производственных процессов, технологий;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адаптация обучающихся к конкретным условиям деятельности кредитно-финансовых учреждений;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проверка профессиональной готовности будущего специалиста к самостоятельной тр</w:t>
      </w:r>
      <w:r w:rsidRPr="001337B7">
        <w:rPr>
          <w:rFonts w:ascii="Times New Roman" w:hAnsi="Times New Roman" w:cs="Times New Roman"/>
          <w:sz w:val="28"/>
          <w:szCs w:val="28"/>
        </w:rPr>
        <w:t>у</w:t>
      </w:r>
      <w:r w:rsidRPr="001337B7">
        <w:rPr>
          <w:rFonts w:ascii="Times New Roman" w:hAnsi="Times New Roman" w:cs="Times New Roman"/>
          <w:sz w:val="28"/>
          <w:szCs w:val="28"/>
        </w:rPr>
        <w:t>довой деятельности;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- подготовка к выполнению дипломной работы.</w:t>
      </w:r>
    </w:p>
    <w:p w:rsidR="001337B7" w:rsidRPr="001337B7" w:rsidRDefault="001337B7" w:rsidP="0084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>С целью овладения видами профессиональной деятельности обучающийся в ходе пре</w:t>
      </w:r>
      <w:r w:rsidRPr="001337B7">
        <w:rPr>
          <w:rFonts w:ascii="Times New Roman" w:hAnsi="Times New Roman" w:cs="Times New Roman"/>
          <w:sz w:val="28"/>
          <w:szCs w:val="28"/>
        </w:rPr>
        <w:t>д</w:t>
      </w:r>
      <w:r w:rsidRPr="001337B7">
        <w:rPr>
          <w:rFonts w:ascii="Times New Roman" w:hAnsi="Times New Roman" w:cs="Times New Roman"/>
          <w:sz w:val="28"/>
          <w:szCs w:val="28"/>
        </w:rPr>
        <w:t>дипломной практики должен иметь практический опыт в: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Fonts w:ascii="Times New Roman" w:hAnsi="Times New Roman" w:cs="Times New Roman"/>
          <w:sz w:val="28"/>
          <w:szCs w:val="28"/>
        </w:rPr>
        <w:t xml:space="preserve">- </w:t>
      </w:r>
      <w:r w:rsidRPr="001337B7">
        <w:rPr>
          <w:rStyle w:val="FontStyle46"/>
          <w:sz w:val="28"/>
          <w:szCs w:val="28"/>
        </w:rPr>
        <w:t>осуществления операций по кредитованию физических и юридических лиц;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консультировании заемщиков по условиям предоставления и порядку погашения кр</w:t>
      </w:r>
      <w:r w:rsidRPr="001337B7">
        <w:rPr>
          <w:rStyle w:val="FontStyle46"/>
          <w:sz w:val="28"/>
          <w:szCs w:val="28"/>
        </w:rPr>
        <w:t>е</w:t>
      </w:r>
      <w:r w:rsidRPr="001337B7">
        <w:rPr>
          <w:rStyle w:val="FontStyle46"/>
          <w:sz w:val="28"/>
          <w:szCs w:val="28"/>
        </w:rPr>
        <w:t>дитов;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анализе финансовое положение заемщика – юридического лица и технико-экономическое обоснование кредита;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lastRenderedPageBreak/>
        <w:t>- обоснование кредита;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определении платежеспособность физического лица;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проверке полноту и подлинность документов заемщика для получения кредитов;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проверке качество и достаточность обеспечения возвратности кредита;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составлении заключение о возможности предоставления кредита;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составлении график платежей по кредиту и процентам, контролировать своевреме</w:t>
      </w:r>
      <w:r w:rsidRPr="001337B7">
        <w:rPr>
          <w:rStyle w:val="FontStyle46"/>
          <w:sz w:val="28"/>
          <w:szCs w:val="28"/>
        </w:rPr>
        <w:t>н</w:t>
      </w:r>
      <w:r w:rsidRPr="001337B7">
        <w:rPr>
          <w:rStyle w:val="FontStyle46"/>
          <w:sz w:val="28"/>
          <w:szCs w:val="28"/>
        </w:rPr>
        <w:t>ность и полноту поступления плат</w:t>
      </w:r>
      <w:r w:rsidRPr="001337B7">
        <w:rPr>
          <w:rStyle w:val="FontStyle46"/>
          <w:sz w:val="28"/>
          <w:szCs w:val="28"/>
        </w:rPr>
        <w:t>е</w:t>
      </w:r>
      <w:r w:rsidRPr="001337B7">
        <w:rPr>
          <w:rStyle w:val="FontStyle46"/>
          <w:sz w:val="28"/>
          <w:szCs w:val="28"/>
        </w:rPr>
        <w:t>жей;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оформлении комплект документов на открытие счетов и выдачу кредитов различных видов;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формировании и ведении кредитных дел;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составление актов по итогам проверок сохранности обеспечения;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определение возможности предоставления межбанковского кредита с учетом финанс</w:t>
      </w:r>
      <w:r w:rsidRPr="001337B7">
        <w:rPr>
          <w:rStyle w:val="FontStyle46"/>
          <w:sz w:val="28"/>
          <w:szCs w:val="28"/>
        </w:rPr>
        <w:t>о</w:t>
      </w:r>
      <w:r w:rsidRPr="001337B7">
        <w:rPr>
          <w:rStyle w:val="FontStyle46"/>
          <w:sz w:val="28"/>
          <w:szCs w:val="28"/>
        </w:rPr>
        <w:t>вого положения контрагента;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определять достаточность обеспечения возвратности межбанковского кредита;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пользование оперативной информацией о ставках по рублевым и валютным межба</w:t>
      </w:r>
      <w:r w:rsidRPr="001337B7">
        <w:rPr>
          <w:rStyle w:val="FontStyle46"/>
          <w:sz w:val="28"/>
          <w:szCs w:val="28"/>
        </w:rPr>
        <w:t>н</w:t>
      </w:r>
      <w:r w:rsidRPr="001337B7">
        <w:rPr>
          <w:rStyle w:val="FontStyle46"/>
          <w:sz w:val="28"/>
          <w:szCs w:val="28"/>
        </w:rPr>
        <w:t>ковским кредитам получаемой по т</w:t>
      </w:r>
      <w:r w:rsidRPr="001337B7">
        <w:rPr>
          <w:rStyle w:val="FontStyle46"/>
          <w:sz w:val="28"/>
          <w:szCs w:val="28"/>
        </w:rPr>
        <w:t>е</w:t>
      </w:r>
      <w:r w:rsidRPr="001337B7">
        <w:rPr>
          <w:rStyle w:val="FontStyle46"/>
          <w:sz w:val="28"/>
          <w:szCs w:val="28"/>
        </w:rPr>
        <w:t>лекоммуникационным каналам;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формирование и отражение в учете операции по выдаче кредитов физическим и юрид</w:t>
      </w:r>
      <w:r w:rsidRPr="001337B7">
        <w:rPr>
          <w:rStyle w:val="FontStyle46"/>
          <w:sz w:val="28"/>
          <w:szCs w:val="28"/>
        </w:rPr>
        <w:t>и</w:t>
      </w:r>
      <w:r w:rsidRPr="001337B7">
        <w:rPr>
          <w:rStyle w:val="FontStyle46"/>
          <w:sz w:val="28"/>
          <w:szCs w:val="28"/>
        </w:rPr>
        <w:t>ческим лицам погашению ими кредитов;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оформление и ведение учета обеспечения по предоставленным кредитам;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оформление и отражать в учете сделки по предоставлению и получению кредитов на рынке межбанковского кредита;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оформление и отражение в учете начисление и взыскание процентов по кредитам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ведение мониторинга финансового положения клиента;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оценке качества обслуживания долга и кредитный риск по выданным кредитам;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расчете и отражениев учете сумм формируемого резерва;</w:t>
      </w:r>
    </w:p>
    <w:p w:rsidR="001337B7" w:rsidRP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оформление  и ведение учет просроченных кредитов и просроченных процентов;</w:t>
      </w:r>
    </w:p>
    <w:p w:rsidR="001337B7" w:rsidRDefault="001337B7" w:rsidP="008403B4">
      <w:pPr>
        <w:spacing w:after="0" w:line="240" w:lineRule="auto"/>
        <w:jc w:val="both"/>
        <w:rPr>
          <w:rStyle w:val="FontStyle46"/>
          <w:sz w:val="28"/>
          <w:szCs w:val="28"/>
        </w:rPr>
      </w:pPr>
      <w:r w:rsidRPr="001337B7">
        <w:rPr>
          <w:rStyle w:val="FontStyle46"/>
          <w:sz w:val="28"/>
          <w:szCs w:val="28"/>
        </w:rPr>
        <w:t>- использование специализированного программного обеспечения для совершения оп</w:t>
      </w:r>
      <w:r w:rsidRPr="001337B7">
        <w:rPr>
          <w:rStyle w:val="FontStyle46"/>
          <w:sz w:val="28"/>
          <w:szCs w:val="28"/>
        </w:rPr>
        <w:t>е</w:t>
      </w:r>
      <w:r w:rsidRPr="001337B7">
        <w:rPr>
          <w:rStyle w:val="FontStyle46"/>
          <w:sz w:val="28"/>
          <w:szCs w:val="28"/>
        </w:rPr>
        <w:t>раций по кредитованию.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96"/>
        <w:gridCol w:w="2207"/>
        <w:gridCol w:w="486"/>
      </w:tblGrid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личностных результатов ре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лизации пр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граммы воспит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ганизаций.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яльный к установкам и проявлениям представителей субкультур, отл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чающий их от групп с деструктивным и девиантным поведением. Демо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стрирующий неприятие  и предупреждающий социальноопасное повед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ние окружающих.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3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Проявляющий и демонстрирующий уважение к людям труда, осозна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щий ценность собственного труда. Стремящийся к формированию в с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тевой среде личностно и профессионального конструктивного «цифров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 следа».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ЛР 4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нятию традиционных ценностей   многонационального народа России.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5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6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7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Проявляющий и демонстрирующий уважение к представителям разли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8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9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Заботящийся о защите окружающей среды, собственной и чужой бе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опасности, в том числе цифровой.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10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Проявляющий уважение к эстетическим ценностям, обладающий осн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вами эстетической культуры.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11</w:t>
            </w:r>
          </w:p>
        </w:tc>
      </w:tr>
      <w:tr w:rsidR="008028E7" w:rsidRPr="00132DA4" w:rsidTr="008028E7">
        <w:trPr>
          <w:gridAfter w:val="1"/>
          <w:wAfter w:w="48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Принимающий семейные ценности, готовый к созданию семьи и восп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танию детей; демонстрирующий неприятие насилия в семье, ухода от р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8E7" w:rsidRPr="008028E7" w:rsidRDefault="008028E7" w:rsidP="008028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12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989" w:type="dxa"/>
            <w:gridSpan w:val="3"/>
            <w:tcBorders>
              <w:top w:val="single" w:sz="4" w:space="0" w:color="000000"/>
            </w:tcBorders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Личностные результаты реализации программы воспитания, определенные отраслевыми треб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ваниями к деловым качествам личности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Соблюдающий в своей профессиональной деятельности этические принципы: честности, незав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симости, профессионального скептицизма, противодействия коррупции и экстремизму, облада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486" w:type="dxa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ЛР 13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Готовый соответствовать ожиданиям работодателей: проектно-мыслящий, эффективно взаимоде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486" w:type="dxa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ЛР 14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486" w:type="dxa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ЛР 15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989" w:type="dxa"/>
            <w:gridSpan w:val="3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Личностные результаты реализации программы воспитания, определенные субъектом Росси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й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ской Федерации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</w:tcPr>
          <w:p w:rsidR="008028E7" w:rsidRPr="00132DA4" w:rsidRDefault="008028E7" w:rsidP="00172F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Проявляющий субъектную позицию ответственного члена рос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сийского общества, осознающего свои конституционные права и обя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 xml:space="preserve">занности. </w:t>
            </w:r>
          </w:p>
        </w:tc>
        <w:tc>
          <w:tcPr>
            <w:tcW w:w="486" w:type="dxa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ЛР 16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</w:tcPr>
          <w:p w:rsidR="008028E7" w:rsidRPr="00132DA4" w:rsidRDefault="008028E7" w:rsidP="00172F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Способный к самообразованию и саморазвитию</w:t>
            </w:r>
          </w:p>
        </w:tc>
        <w:tc>
          <w:tcPr>
            <w:tcW w:w="486" w:type="dxa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ЛР 17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Антикоррупционное поведение</w:t>
            </w:r>
          </w:p>
        </w:tc>
        <w:tc>
          <w:tcPr>
            <w:tcW w:w="486" w:type="dxa"/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ЛР 18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989" w:type="dxa"/>
            <w:gridSpan w:val="3"/>
            <w:tcBorders>
              <w:bottom w:val="single" w:sz="4" w:space="0" w:color="auto"/>
            </w:tcBorders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Личностные результаты реализации программы воспитания, определенные ключевыми работ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дателями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E7" w:rsidRPr="00132DA4" w:rsidRDefault="008028E7" w:rsidP="00172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Готовый соответствовать ожиданиям работодателей: эффективно взаимодействующий с членами команды и сотрудничающий с другими людьми, осознанно выполня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щий профессиональные требования, ответственный, пунктуальный, дисциплинированный, труд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любивый, критически мыслящий, нацеленный на достижение поставле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 целей; управляющий собственным профессиональным развитием; демонстрирующий профессиональную жизнестойкость.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ЛР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19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E7" w:rsidRPr="00132DA4" w:rsidRDefault="008028E7" w:rsidP="00172F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ЛР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20</w:t>
            </w:r>
          </w:p>
        </w:tc>
      </w:tr>
      <w:tr w:rsidR="008028E7" w:rsidRPr="00132DA4" w:rsidTr="008028E7">
        <w:tblPrEx>
          <w:tblLook w:val="0400" w:firstRow="0" w:lastRow="0" w:firstColumn="0" w:lastColumn="0" w:noHBand="0" w:noVBand="1"/>
        </w:tblPrEx>
        <w:tc>
          <w:tcPr>
            <w:tcW w:w="10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E7" w:rsidRPr="00132DA4" w:rsidRDefault="008028E7" w:rsidP="00172F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Осознанный выбор профессии и возможностей реализации собстве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132D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 жизненных планов; отношение к профессиональной деятельности как возможности участия в решении личных, общественных, государственных, общенациональных проблем.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E7" w:rsidRPr="00132DA4" w:rsidRDefault="008028E7" w:rsidP="00172F54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ЛР</w:t>
            </w:r>
            <w:r w:rsidRPr="00132DA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21</w:t>
            </w:r>
          </w:p>
        </w:tc>
      </w:tr>
    </w:tbl>
    <w:p w:rsidR="00CC6555" w:rsidRDefault="00CC6555" w:rsidP="001337B7">
      <w:pPr>
        <w:spacing w:after="0" w:line="240" w:lineRule="auto"/>
        <w:jc w:val="both"/>
        <w:rPr>
          <w:rStyle w:val="FontStyle46"/>
          <w:sz w:val="28"/>
          <w:szCs w:val="28"/>
        </w:rPr>
      </w:pPr>
    </w:p>
    <w:p w:rsidR="001337B7" w:rsidRPr="001337B7" w:rsidRDefault="001337B7" w:rsidP="00133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89E" w:rsidRPr="003B589E" w:rsidRDefault="003B589E" w:rsidP="003B589E">
      <w:pPr>
        <w:pStyle w:val="a3"/>
        <w:widowControl w:val="0"/>
        <w:ind w:left="0" w:firstLine="0"/>
        <w:jc w:val="both"/>
        <w:rPr>
          <w:b/>
          <w:sz w:val="28"/>
          <w:szCs w:val="28"/>
        </w:rPr>
      </w:pPr>
      <w:r w:rsidRPr="003B589E">
        <w:rPr>
          <w:b/>
          <w:sz w:val="28"/>
          <w:szCs w:val="28"/>
        </w:rPr>
        <w:t>1.3 Рекомендуемое количество часов на производственную практику:</w:t>
      </w:r>
    </w:p>
    <w:p w:rsidR="003B589E" w:rsidRPr="003B589E" w:rsidRDefault="003B589E" w:rsidP="003B5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9E">
        <w:rPr>
          <w:rFonts w:ascii="Times New Roman" w:hAnsi="Times New Roman" w:cs="Times New Roman"/>
          <w:sz w:val="28"/>
          <w:szCs w:val="28"/>
        </w:rPr>
        <w:t xml:space="preserve">Всего часов </w:t>
      </w:r>
      <w:r w:rsidRPr="003B589E">
        <w:rPr>
          <w:rFonts w:ascii="Times New Roman" w:hAnsi="Times New Roman" w:cs="Times New Roman"/>
          <w:b/>
          <w:sz w:val="28"/>
          <w:szCs w:val="28"/>
        </w:rPr>
        <w:t>288 часов,</w:t>
      </w:r>
      <w:r w:rsidRPr="003B589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3B589E" w:rsidRPr="003B589E" w:rsidRDefault="003B589E" w:rsidP="003B589E">
      <w:pPr>
        <w:pStyle w:val="a3"/>
        <w:widowControl w:val="0"/>
        <w:ind w:left="0" w:firstLine="0"/>
        <w:jc w:val="both"/>
        <w:rPr>
          <w:sz w:val="28"/>
          <w:szCs w:val="28"/>
        </w:rPr>
      </w:pPr>
      <w:r w:rsidRPr="003B589E">
        <w:rPr>
          <w:b/>
          <w:sz w:val="28"/>
          <w:szCs w:val="28"/>
        </w:rPr>
        <w:t xml:space="preserve">108 часов - </w:t>
      </w:r>
      <w:r w:rsidRPr="003B589E">
        <w:rPr>
          <w:sz w:val="28"/>
          <w:szCs w:val="28"/>
        </w:rPr>
        <w:t xml:space="preserve">ПМ.01 «Ведение расчетных операций»; </w:t>
      </w:r>
    </w:p>
    <w:p w:rsidR="003B589E" w:rsidRPr="003B589E" w:rsidRDefault="003B589E" w:rsidP="003B589E">
      <w:pPr>
        <w:pStyle w:val="a3"/>
        <w:widowControl w:val="0"/>
        <w:ind w:left="0" w:firstLine="0"/>
        <w:jc w:val="both"/>
        <w:rPr>
          <w:sz w:val="28"/>
          <w:szCs w:val="28"/>
        </w:rPr>
      </w:pPr>
      <w:r w:rsidRPr="003B589E">
        <w:rPr>
          <w:b/>
          <w:sz w:val="28"/>
          <w:szCs w:val="28"/>
        </w:rPr>
        <w:t>108 часов</w:t>
      </w:r>
      <w:r w:rsidRPr="003B589E">
        <w:rPr>
          <w:sz w:val="28"/>
          <w:szCs w:val="28"/>
        </w:rPr>
        <w:t xml:space="preserve"> – ПМ.02 «Осуществление кредитных операций»</w:t>
      </w:r>
    </w:p>
    <w:p w:rsidR="003B589E" w:rsidRPr="003B589E" w:rsidRDefault="003B589E" w:rsidP="003B589E">
      <w:pPr>
        <w:pStyle w:val="210"/>
        <w:widowControl w:val="0"/>
        <w:tabs>
          <w:tab w:val="left" w:pos="1965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B589E">
        <w:rPr>
          <w:rFonts w:ascii="Times New Roman" w:hAnsi="Times New Roman" w:cs="Times New Roman"/>
          <w:b/>
          <w:sz w:val="28"/>
        </w:rPr>
        <w:t>72 часа -</w:t>
      </w:r>
      <w:r w:rsidRPr="003B589E">
        <w:rPr>
          <w:rFonts w:ascii="Times New Roman" w:hAnsi="Times New Roman" w:cs="Times New Roman"/>
          <w:sz w:val="28"/>
        </w:rPr>
        <w:t xml:space="preserve"> ПМ .03 «Выполнение работ по должности «Агент банка»».</w:t>
      </w:r>
    </w:p>
    <w:p w:rsidR="008028E7" w:rsidRDefault="003B589E" w:rsidP="008028E7">
      <w:pPr>
        <w:rPr>
          <w:rFonts w:ascii="Times New Roman" w:hAnsi="Times New Roman" w:cs="Times New Roman"/>
          <w:sz w:val="28"/>
          <w:szCs w:val="28"/>
        </w:rPr>
      </w:pPr>
      <w:r w:rsidRPr="003B589E">
        <w:rPr>
          <w:rFonts w:ascii="Times New Roman" w:hAnsi="Times New Roman" w:cs="Times New Roman"/>
          <w:b/>
          <w:sz w:val="28"/>
          <w:szCs w:val="28"/>
        </w:rPr>
        <w:t>Количество часов на освоение рабочей  преддипломной (производственной)   пра</w:t>
      </w:r>
      <w:r w:rsidRPr="003B589E">
        <w:rPr>
          <w:rFonts w:ascii="Times New Roman" w:hAnsi="Times New Roman" w:cs="Times New Roman"/>
          <w:b/>
          <w:sz w:val="28"/>
          <w:szCs w:val="28"/>
        </w:rPr>
        <w:t>к</w:t>
      </w:r>
      <w:r w:rsidRPr="003B589E">
        <w:rPr>
          <w:rFonts w:ascii="Times New Roman" w:hAnsi="Times New Roman" w:cs="Times New Roman"/>
          <w:b/>
          <w:sz w:val="28"/>
          <w:szCs w:val="28"/>
        </w:rPr>
        <w:t xml:space="preserve">тики:4 недели - </w:t>
      </w:r>
      <w:r w:rsidRPr="003B589E">
        <w:rPr>
          <w:rFonts w:ascii="Times New Roman" w:hAnsi="Times New Roman" w:cs="Times New Roman"/>
          <w:sz w:val="28"/>
          <w:szCs w:val="28"/>
        </w:rPr>
        <w:t>144 ча</w:t>
      </w:r>
      <w:r w:rsidR="008028E7">
        <w:rPr>
          <w:rFonts w:ascii="Times New Roman" w:hAnsi="Times New Roman" w:cs="Times New Roman"/>
          <w:sz w:val="28"/>
          <w:szCs w:val="28"/>
        </w:rPr>
        <w:t>сов</w:t>
      </w: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  <w:sectPr w:rsidR="008028E7" w:rsidSect="001337B7">
          <w:footerReference w:type="default" r:id="rId8"/>
          <w:pgSz w:w="11907" w:h="16839" w:code="9"/>
          <w:pgMar w:top="567" w:right="567" w:bottom="1440" w:left="567" w:header="720" w:footer="720" w:gutter="0"/>
          <w:cols w:space="60"/>
          <w:noEndnote/>
          <w:docGrid w:linePitch="326"/>
        </w:sect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8028E7" w:rsidRDefault="008028E7" w:rsidP="008028E7">
      <w:pPr>
        <w:rPr>
          <w:rFonts w:ascii="Times New Roman" w:hAnsi="Times New Roman" w:cs="Times New Roman"/>
          <w:sz w:val="28"/>
          <w:szCs w:val="28"/>
        </w:rPr>
      </w:pPr>
    </w:p>
    <w:p w:rsidR="001337B7" w:rsidRPr="001337B7" w:rsidRDefault="001337B7" w:rsidP="001337B7">
      <w:pPr>
        <w:pStyle w:val="Style3"/>
        <w:widowControl/>
        <w:spacing w:before="62"/>
        <w:ind w:firstLine="709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</w:rPr>
        <w:t xml:space="preserve"> </w:t>
      </w:r>
      <w:r w:rsidRPr="001337B7">
        <w:rPr>
          <w:rStyle w:val="FontStyle61"/>
          <w:sz w:val="28"/>
          <w:szCs w:val="28"/>
        </w:rPr>
        <w:t xml:space="preserve">Тематический план </w:t>
      </w:r>
      <w:r w:rsidRPr="001337B7">
        <w:rPr>
          <w:rStyle w:val="FontStyle56"/>
          <w:bCs w:val="0"/>
        </w:rPr>
        <w:t>преддипломной практики</w:t>
      </w: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9072"/>
        <w:gridCol w:w="1417"/>
      </w:tblGrid>
      <w:tr w:rsidR="001337B7" w:rsidRPr="001337B7" w:rsidTr="004E11D9">
        <w:trPr>
          <w:trHeight w:val="148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7B7" w:rsidRPr="001337B7" w:rsidRDefault="001337B7" w:rsidP="004E11D9">
            <w:pPr>
              <w:pStyle w:val="Style48"/>
              <w:widowControl/>
              <w:jc w:val="center"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rStyle w:val="FontStyle59"/>
                <w:b w:val="0"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7B7" w:rsidRPr="001337B7" w:rsidRDefault="001337B7" w:rsidP="004E11D9">
            <w:pPr>
              <w:pStyle w:val="Style49"/>
              <w:widowControl/>
              <w:ind w:firstLine="0"/>
              <w:jc w:val="center"/>
              <w:rPr>
                <w:rStyle w:val="FontStyle57"/>
                <w:b w:val="0"/>
                <w:sz w:val="20"/>
                <w:szCs w:val="20"/>
              </w:rPr>
            </w:pPr>
            <w:r w:rsidRPr="001337B7">
              <w:rPr>
                <w:rStyle w:val="FontStyle57"/>
                <w:sz w:val="20"/>
                <w:szCs w:val="20"/>
              </w:rPr>
              <w:t>Наименования  разделов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7B7" w:rsidRPr="001337B7" w:rsidRDefault="001337B7" w:rsidP="004E11D9">
            <w:pPr>
              <w:pStyle w:val="Style50"/>
              <w:widowControl/>
              <w:rPr>
                <w:rStyle w:val="FontStyle57"/>
                <w:b w:val="0"/>
                <w:sz w:val="20"/>
                <w:szCs w:val="20"/>
              </w:rPr>
            </w:pPr>
            <w:r w:rsidRPr="001337B7">
              <w:rPr>
                <w:rStyle w:val="FontStyle57"/>
                <w:sz w:val="20"/>
                <w:szCs w:val="20"/>
              </w:rPr>
              <w:t>Всего часов</w:t>
            </w:r>
          </w:p>
        </w:tc>
      </w:tr>
      <w:tr w:rsidR="001337B7" w:rsidRPr="001337B7" w:rsidTr="004E11D9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7B7" w:rsidRPr="001337B7" w:rsidRDefault="001337B7" w:rsidP="004E11D9">
            <w:pPr>
              <w:pStyle w:val="Style49"/>
              <w:widowControl/>
              <w:spacing w:line="240" w:lineRule="auto"/>
              <w:ind w:left="936" w:firstLine="0"/>
              <w:rPr>
                <w:rStyle w:val="FontStyle57"/>
                <w:b w:val="0"/>
                <w:sz w:val="20"/>
                <w:szCs w:val="20"/>
              </w:rPr>
            </w:pPr>
            <w:r w:rsidRPr="001337B7">
              <w:rPr>
                <w:rStyle w:val="FontStyle57"/>
                <w:sz w:val="20"/>
                <w:szCs w:val="20"/>
              </w:rPr>
              <w:t>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7B7" w:rsidRPr="001337B7" w:rsidRDefault="001337B7" w:rsidP="004E11D9">
            <w:pPr>
              <w:pStyle w:val="Style49"/>
              <w:widowControl/>
              <w:spacing w:line="240" w:lineRule="auto"/>
              <w:ind w:left="1637" w:firstLine="0"/>
              <w:rPr>
                <w:rStyle w:val="FontStyle57"/>
                <w:b w:val="0"/>
                <w:sz w:val="20"/>
                <w:szCs w:val="20"/>
              </w:rPr>
            </w:pPr>
            <w:r w:rsidRPr="001337B7">
              <w:rPr>
                <w:rStyle w:val="FontStyle57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7B7" w:rsidRPr="001337B7" w:rsidRDefault="001337B7" w:rsidP="004E11D9">
            <w:pPr>
              <w:pStyle w:val="Style49"/>
              <w:widowControl/>
              <w:spacing w:line="240" w:lineRule="auto"/>
              <w:ind w:firstLine="0"/>
              <w:jc w:val="center"/>
              <w:rPr>
                <w:rStyle w:val="FontStyle57"/>
                <w:b w:val="0"/>
                <w:sz w:val="20"/>
                <w:szCs w:val="20"/>
              </w:rPr>
            </w:pPr>
            <w:r w:rsidRPr="001337B7">
              <w:rPr>
                <w:rStyle w:val="FontStyle57"/>
                <w:sz w:val="20"/>
                <w:szCs w:val="20"/>
              </w:rPr>
              <w:t>3</w:t>
            </w:r>
          </w:p>
        </w:tc>
      </w:tr>
      <w:tr w:rsidR="001337B7" w:rsidRPr="001337B7" w:rsidTr="004E11D9">
        <w:trPr>
          <w:trHeight w:val="50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7B7" w:rsidRPr="00E14A13" w:rsidRDefault="001337B7" w:rsidP="004E11D9">
            <w:pPr>
              <w:pStyle w:val="Style48"/>
              <w:widowControl/>
              <w:spacing w:line="240" w:lineRule="auto"/>
              <w:contextualSpacing/>
              <w:rPr>
                <w:rStyle w:val="FontStyle59"/>
                <w:b w:val="0"/>
                <w:sz w:val="20"/>
                <w:szCs w:val="20"/>
              </w:rPr>
            </w:pPr>
            <w:r w:rsidRPr="00E14A13">
              <w:rPr>
                <w:sz w:val="20"/>
                <w:szCs w:val="20"/>
              </w:rPr>
              <w:t>ПК1.1-ПК1.6</w:t>
            </w:r>
            <w:r w:rsidRPr="00E14A13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E14A13">
              <w:rPr>
                <w:sz w:val="20"/>
                <w:szCs w:val="20"/>
              </w:rPr>
              <w:t>ПК2.1-ПК2.4</w:t>
            </w:r>
            <w:r w:rsidRPr="00E14A13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E14A13">
              <w:rPr>
                <w:sz w:val="20"/>
                <w:szCs w:val="20"/>
              </w:rPr>
              <w:t>ПК3.1-ПК3.3</w:t>
            </w:r>
          </w:p>
          <w:p w:rsidR="001337B7" w:rsidRPr="00E14A13" w:rsidRDefault="001337B7" w:rsidP="004E11D9">
            <w:pPr>
              <w:pStyle w:val="Style48"/>
              <w:widowControl/>
              <w:spacing w:line="240" w:lineRule="auto"/>
              <w:contextualSpacing/>
              <w:rPr>
                <w:rStyle w:val="FontStyle59"/>
                <w:b w:val="0"/>
                <w:sz w:val="20"/>
                <w:szCs w:val="20"/>
              </w:rPr>
            </w:pPr>
            <w:r w:rsidRPr="00E14A13">
              <w:rPr>
                <w:sz w:val="20"/>
                <w:szCs w:val="20"/>
              </w:rPr>
              <w:t>ПК4.1-ПК4.4</w:t>
            </w:r>
            <w:r w:rsidRPr="00E14A13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E14A13">
              <w:rPr>
                <w:sz w:val="20"/>
                <w:szCs w:val="20"/>
              </w:rPr>
              <w:t>ПК5.1-ПК5.5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7B7" w:rsidRPr="00E14A13" w:rsidRDefault="001337B7" w:rsidP="004E11D9">
            <w:pPr>
              <w:pStyle w:val="2"/>
              <w:ind w:left="102"/>
              <w:contextualSpacing/>
              <w:rPr>
                <w:rStyle w:val="FontStyle57"/>
                <w:b/>
                <w:bCs/>
                <w:color w:val="auto"/>
                <w:sz w:val="20"/>
                <w:szCs w:val="20"/>
              </w:rPr>
            </w:pPr>
            <w:r w:rsidRPr="00E14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Раздел 1. Ознакомление с объектом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jc w:val="center"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rStyle w:val="FontStyle59"/>
                <w:b w:val="0"/>
                <w:sz w:val="20"/>
                <w:szCs w:val="20"/>
              </w:rPr>
              <w:t>18</w:t>
            </w:r>
          </w:p>
        </w:tc>
      </w:tr>
      <w:tr w:rsidR="001337B7" w:rsidRPr="001337B7" w:rsidTr="004E11D9">
        <w:trPr>
          <w:trHeight w:val="62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sz w:val="20"/>
                <w:szCs w:val="20"/>
              </w:rPr>
              <w:t>ПК1.1-ПК1.6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ПК2.1-ПК2.4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ПК3.1-ПК3.3</w:t>
            </w:r>
          </w:p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rPr>
                <w:sz w:val="20"/>
                <w:szCs w:val="20"/>
              </w:rPr>
            </w:pPr>
            <w:r w:rsidRPr="001337B7">
              <w:rPr>
                <w:sz w:val="20"/>
                <w:szCs w:val="20"/>
              </w:rPr>
              <w:t>ПК4.1-ПК4.4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ПК5.1-ПК5.5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7B7" w:rsidRPr="001337B7" w:rsidRDefault="001337B7" w:rsidP="004E11D9">
            <w:pPr>
              <w:pStyle w:val="Style30"/>
              <w:widowControl/>
              <w:spacing w:line="240" w:lineRule="auto"/>
              <w:ind w:left="101"/>
              <w:contextualSpacing/>
              <w:rPr>
                <w:rStyle w:val="FontStyle57"/>
                <w:b w:val="0"/>
                <w:sz w:val="20"/>
                <w:szCs w:val="20"/>
              </w:rPr>
            </w:pPr>
            <w:r w:rsidRPr="001337B7">
              <w:rPr>
                <w:b/>
                <w:color w:val="000000"/>
                <w:sz w:val="20"/>
                <w:szCs w:val="20"/>
              </w:rPr>
              <w:t xml:space="preserve">Раздел 2. Изучение функций и содержание работы основных отделов </w:t>
            </w:r>
            <w:r w:rsidRPr="001337B7">
              <w:rPr>
                <w:b/>
                <w:color w:val="000000"/>
                <w:spacing w:val="-1"/>
                <w:sz w:val="20"/>
                <w:szCs w:val="20"/>
              </w:rPr>
              <w:t>банка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jc w:val="center"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rStyle w:val="FontStyle59"/>
                <w:b w:val="0"/>
                <w:sz w:val="20"/>
                <w:szCs w:val="20"/>
              </w:rPr>
              <w:t>48</w:t>
            </w:r>
          </w:p>
        </w:tc>
      </w:tr>
      <w:tr w:rsidR="001337B7" w:rsidRPr="001337B7" w:rsidTr="004E11D9">
        <w:trPr>
          <w:trHeight w:val="55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sz w:val="20"/>
                <w:szCs w:val="20"/>
              </w:rPr>
              <w:t>ПК1.1-ПК1.6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ПК2.1-ПК2.4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ПК3.1-ПК3.3</w:t>
            </w:r>
          </w:p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sz w:val="20"/>
                <w:szCs w:val="20"/>
              </w:rPr>
              <w:t>ПК4.1-ПК4.4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ПК5.1-ПК5.5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7B7" w:rsidRPr="001337B7" w:rsidRDefault="001337B7" w:rsidP="004E11D9">
            <w:pPr>
              <w:pStyle w:val="Style30"/>
              <w:widowControl/>
              <w:spacing w:line="240" w:lineRule="auto"/>
              <w:ind w:left="101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1337B7">
              <w:rPr>
                <w:b/>
                <w:color w:val="000000"/>
                <w:sz w:val="20"/>
                <w:szCs w:val="20"/>
              </w:rPr>
              <w:t>Раздел 3. Работа в качестве помощника специалиста банковского дела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jc w:val="center"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rStyle w:val="FontStyle59"/>
                <w:b w:val="0"/>
                <w:sz w:val="20"/>
                <w:szCs w:val="20"/>
              </w:rPr>
              <w:t>42</w:t>
            </w:r>
          </w:p>
        </w:tc>
      </w:tr>
      <w:tr w:rsidR="001337B7" w:rsidRPr="001337B7" w:rsidTr="004E11D9">
        <w:trPr>
          <w:trHeight w:val="54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sz w:val="20"/>
                <w:szCs w:val="20"/>
              </w:rPr>
              <w:t>ПК1.1-ПК1.6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ПК2.1-ПК2.4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ПК3.1-ПК3.3</w:t>
            </w:r>
          </w:p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rPr>
                <w:sz w:val="20"/>
                <w:szCs w:val="20"/>
              </w:rPr>
            </w:pPr>
            <w:r w:rsidRPr="001337B7">
              <w:rPr>
                <w:sz w:val="20"/>
                <w:szCs w:val="20"/>
              </w:rPr>
              <w:t>ПК4.1-ПК4.4</w:t>
            </w:r>
            <w:r w:rsidRPr="001337B7">
              <w:rPr>
                <w:rStyle w:val="FontStyle59"/>
                <w:b w:val="0"/>
                <w:sz w:val="20"/>
                <w:szCs w:val="20"/>
              </w:rPr>
              <w:t xml:space="preserve">, </w:t>
            </w:r>
            <w:r w:rsidRPr="001337B7">
              <w:rPr>
                <w:sz w:val="20"/>
                <w:szCs w:val="20"/>
              </w:rPr>
              <w:t>ПК5.1-ПК5.5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7B7" w:rsidRPr="001337B7" w:rsidRDefault="001337B7" w:rsidP="004E11D9">
            <w:pPr>
              <w:ind w:left="101"/>
              <w:contextualSpacing/>
              <w:rPr>
                <w:rStyle w:val="FontStyle57"/>
                <w:b w:val="0"/>
                <w:sz w:val="20"/>
                <w:szCs w:val="20"/>
              </w:rPr>
            </w:pPr>
            <w:r w:rsidRPr="001337B7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Сбор и систематизация материалов по теме дипломной работы.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jc w:val="center"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rStyle w:val="FontStyle59"/>
                <w:b w:val="0"/>
                <w:sz w:val="20"/>
                <w:szCs w:val="20"/>
              </w:rPr>
              <w:t>36</w:t>
            </w:r>
          </w:p>
        </w:tc>
      </w:tr>
      <w:tr w:rsidR="001337B7" w:rsidRPr="001337B7" w:rsidTr="004E11D9">
        <w:trPr>
          <w:trHeight w:val="41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37B7" w:rsidRPr="001337B7" w:rsidRDefault="001337B7" w:rsidP="004E11D9">
            <w:pPr>
              <w:ind w:left="101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7B7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7B7" w:rsidRPr="001337B7" w:rsidRDefault="001337B7" w:rsidP="004E11D9">
            <w:pPr>
              <w:pStyle w:val="Style48"/>
              <w:widowControl/>
              <w:spacing w:line="240" w:lineRule="auto"/>
              <w:contextualSpacing/>
              <w:jc w:val="center"/>
              <w:rPr>
                <w:rStyle w:val="FontStyle59"/>
                <w:b w:val="0"/>
                <w:sz w:val="20"/>
                <w:szCs w:val="20"/>
              </w:rPr>
            </w:pPr>
            <w:r w:rsidRPr="001337B7">
              <w:rPr>
                <w:rStyle w:val="FontStyle59"/>
                <w:b w:val="0"/>
                <w:sz w:val="20"/>
                <w:szCs w:val="20"/>
              </w:rPr>
              <w:t>144</w:t>
            </w:r>
          </w:p>
        </w:tc>
      </w:tr>
    </w:tbl>
    <w:p w:rsidR="008403B4" w:rsidRDefault="008403B4" w:rsidP="008028E7">
      <w:pPr>
        <w:rPr>
          <w:rFonts w:ascii="Times New Roman" w:hAnsi="Times New Roman" w:cs="Times New Roman"/>
          <w:sz w:val="28"/>
          <w:szCs w:val="28"/>
        </w:rPr>
      </w:pPr>
    </w:p>
    <w:sectPr w:rsidR="008403B4" w:rsidSect="008028E7">
      <w:pgSz w:w="16838" w:h="11906" w:orient="landscape"/>
      <w:pgMar w:top="1418" w:right="426" w:bottom="850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3C" w:rsidRDefault="0041753C" w:rsidP="00694A97">
      <w:pPr>
        <w:spacing w:after="0" w:line="240" w:lineRule="auto"/>
      </w:pPr>
      <w:r>
        <w:separator/>
      </w:r>
    </w:p>
  </w:endnote>
  <w:endnote w:type="continuationSeparator" w:id="0">
    <w:p w:rsidR="0041753C" w:rsidRDefault="0041753C" w:rsidP="0069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7B7" w:rsidRDefault="001B6E8D">
    <w:pPr>
      <w:pStyle w:val="Style6"/>
      <w:widowControl/>
      <w:jc w:val="right"/>
      <w:rPr>
        <w:rStyle w:val="FontStyle58"/>
      </w:rPr>
    </w:pPr>
    <w:r>
      <w:rPr>
        <w:rStyle w:val="FontStyle58"/>
      </w:rPr>
      <w:fldChar w:fldCharType="begin"/>
    </w:r>
    <w:r w:rsidR="001337B7">
      <w:rPr>
        <w:rStyle w:val="FontStyle58"/>
      </w:rPr>
      <w:instrText>PAGE</w:instrText>
    </w:r>
    <w:r>
      <w:rPr>
        <w:rStyle w:val="FontStyle58"/>
      </w:rPr>
      <w:fldChar w:fldCharType="separate"/>
    </w:r>
    <w:r w:rsidR="008028E7">
      <w:rPr>
        <w:rStyle w:val="FontStyle58"/>
        <w:noProof/>
      </w:rPr>
      <w:t>2</w:t>
    </w:r>
    <w:r>
      <w:rPr>
        <w:rStyle w:val="FontStyle5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3C" w:rsidRDefault="0041753C" w:rsidP="00694A97">
      <w:pPr>
        <w:spacing w:after="0" w:line="240" w:lineRule="auto"/>
      </w:pPr>
      <w:r>
        <w:separator/>
      </w:r>
    </w:p>
  </w:footnote>
  <w:footnote w:type="continuationSeparator" w:id="0">
    <w:p w:rsidR="0041753C" w:rsidRDefault="0041753C" w:rsidP="00694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>
    <w:nsid w:val="00001238"/>
    <w:multiLevelType w:val="hybridMultilevel"/>
    <w:tmpl w:val="2602633A"/>
    <w:lvl w:ilvl="0" w:tplc="1D78F1EC">
      <w:start w:val="1"/>
      <w:numFmt w:val="bullet"/>
      <w:lvlText w:val=""/>
      <w:lvlJc w:val="left"/>
    </w:lvl>
    <w:lvl w:ilvl="1" w:tplc="7F4C2A2E">
      <w:numFmt w:val="decimal"/>
      <w:lvlText w:val=""/>
      <w:lvlJc w:val="left"/>
    </w:lvl>
    <w:lvl w:ilvl="2" w:tplc="979CC984">
      <w:numFmt w:val="decimal"/>
      <w:lvlText w:val=""/>
      <w:lvlJc w:val="left"/>
    </w:lvl>
    <w:lvl w:ilvl="3" w:tplc="49E2C876">
      <w:numFmt w:val="decimal"/>
      <w:lvlText w:val=""/>
      <w:lvlJc w:val="left"/>
    </w:lvl>
    <w:lvl w:ilvl="4" w:tplc="03F89520">
      <w:numFmt w:val="decimal"/>
      <w:lvlText w:val=""/>
      <w:lvlJc w:val="left"/>
    </w:lvl>
    <w:lvl w:ilvl="5" w:tplc="7F14A4DE">
      <w:numFmt w:val="decimal"/>
      <w:lvlText w:val=""/>
      <w:lvlJc w:val="left"/>
    </w:lvl>
    <w:lvl w:ilvl="6" w:tplc="778CD9FC">
      <w:numFmt w:val="decimal"/>
      <w:lvlText w:val=""/>
      <w:lvlJc w:val="left"/>
    </w:lvl>
    <w:lvl w:ilvl="7" w:tplc="12AA749A">
      <w:numFmt w:val="decimal"/>
      <w:lvlText w:val=""/>
      <w:lvlJc w:val="left"/>
    </w:lvl>
    <w:lvl w:ilvl="8" w:tplc="A99C4992">
      <w:numFmt w:val="decimal"/>
      <w:lvlText w:val=""/>
      <w:lvlJc w:val="left"/>
    </w:lvl>
  </w:abstractNum>
  <w:abstractNum w:abstractNumId="3">
    <w:nsid w:val="00001E1F"/>
    <w:multiLevelType w:val="hybridMultilevel"/>
    <w:tmpl w:val="91AE425E"/>
    <w:lvl w:ilvl="0" w:tplc="720A714E">
      <w:start w:val="1"/>
      <w:numFmt w:val="bullet"/>
      <w:lvlText w:val=""/>
      <w:lvlJc w:val="left"/>
    </w:lvl>
    <w:lvl w:ilvl="1" w:tplc="4F6C7296">
      <w:numFmt w:val="decimal"/>
      <w:lvlText w:val=""/>
      <w:lvlJc w:val="left"/>
    </w:lvl>
    <w:lvl w:ilvl="2" w:tplc="6E1ED41E">
      <w:numFmt w:val="decimal"/>
      <w:lvlText w:val=""/>
      <w:lvlJc w:val="left"/>
    </w:lvl>
    <w:lvl w:ilvl="3" w:tplc="14D23634">
      <w:numFmt w:val="decimal"/>
      <w:lvlText w:val=""/>
      <w:lvlJc w:val="left"/>
    </w:lvl>
    <w:lvl w:ilvl="4" w:tplc="B906BBC0">
      <w:numFmt w:val="decimal"/>
      <w:lvlText w:val=""/>
      <w:lvlJc w:val="left"/>
    </w:lvl>
    <w:lvl w:ilvl="5" w:tplc="2A3E14EA">
      <w:numFmt w:val="decimal"/>
      <w:lvlText w:val=""/>
      <w:lvlJc w:val="left"/>
    </w:lvl>
    <w:lvl w:ilvl="6" w:tplc="AA9CCB80">
      <w:numFmt w:val="decimal"/>
      <w:lvlText w:val=""/>
      <w:lvlJc w:val="left"/>
    </w:lvl>
    <w:lvl w:ilvl="7" w:tplc="6C020AFE">
      <w:numFmt w:val="decimal"/>
      <w:lvlText w:val=""/>
      <w:lvlJc w:val="left"/>
    </w:lvl>
    <w:lvl w:ilvl="8" w:tplc="FB8A82BA">
      <w:numFmt w:val="decimal"/>
      <w:lvlText w:val=""/>
      <w:lvlJc w:val="left"/>
    </w:lvl>
  </w:abstractNum>
  <w:abstractNum w:abstractNumId="4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5">
    <w:nsid w:val="00003B25"/>
    <w:multiLevelType w:val="hybridMultilevel"/>
    <w:tmpl w:val="E8CEDD92"/>
    <w:lvl w:ilvl="0" w:tplc="CBB222B4">
      <w:start w:val="1"/>
      <w:numFmt w:val="bullet"/>
      <w:lvlText w:val=""/>
      <w:lvlJc w:val="left"/>
    </w:lvl>
    <w:lvl w:ilvl="1" w:tplc="AADE8C2C">
      <w:numFmt w:val="decimal"/>
      <w:lvlText w:val=""/>
      <w:lvlJc w:val="left"/>
    </w:lvl>
    <w:lvl w:ilvl="2" w:tplc="F6BC1A2C">
      <w:numFmt w:val="decimal"/>
      <w:lvlText w:val=""/>
      <w:lvlJc w:val="left"/>
    </w:lvl>
    <w:lvl w:ilvl="3" w:tplc="5198CE96">
      <w:numFmt w:val="decimal"/>
      <w:lvlText w:val=""/>
      <w:lvlJc w:val="left"/>
    </w:lvl>
    <w:lvl w:ilvl="4" w:tplc="F22056BE">
      <w:numFmt w:val="decimal"/>
      <w:lvlText w:val=""/>
      <w:lvlJc w:val="left"/>
    </w:lvl>
    <w:lvl w:ilvl="5" w:tplc="086ECEF8">
      <w:numFmt w:val="decimal"/>
      <w:lvlText w:val=""/>
      <w:lvlJc w:val="left"/>
    </w:lvl>
    <w:lvl w:ilvl="6" w:tplc="AE8E2DAA">
      <w:numFmt w:val="decimal"/>
      <w:lvlText w:val=""/>
      <w:lvlJc w:val="left"/>
    </w:lvl>
    <w:lvl w:ilvl="7" w:tplc="2A3CB122">
      <w:numFmt w:val="decimal"/>
      <w:lvlText w:val=""/>
      <w:lvlJc w:val="left"/>
    </w:lvl>
    <w:lvl w:ilvl="8" w:tplc="DAFEDD04">
      <w:numFmt w:val="decimal"/>
      <w:lvlText w:val=""/>
      <w:lvlJc w:val="left"/>
    </w:lvl>
  </w:abstractNum>
  <w:abstractNum w:abstractNumId="6">
    <w:nsid w:val="00004509"/>
    <w:multiLevelType w:val="hybridMultilevel"/>
    <w:tmpl w:val="ACACD874"/>
    <w:lvl w:ilvl="0" w:tplc="81AE8F98">
      <w:start w:val="1"/>
      <w:numFmt w:val="bullet"/>
      <w:lvlText w:val=""/>
      <w:lvlJc w:val="left"/>
    </w:lvl>
    <w:lvl w:ilvl="1" w:tplc="5D1A3CFC">
      <w:numFmt w:val="decimal"/>
      <w:lvlText w:val=""/>
      <w:lvlJc w:val="left"/>
    </w:lvl>
    <w:lvl w:ilvl="2" w:tplc="11903B8C">
      <w:numFmt w:val="decimal"/>
      <w:lvlText w:val=""/>
      <w:lvlJc w:val="left"/>
    </w:lvl>
    <w:lvl w:ilvl="3" w:tplc="C324DED2">
      <w:numFmt w:val="decimal"/>
      <w:lvlText w:val=""/>
      <w:lvlJc w:val="left"/>
    </w:lvl>
    <w:lvl w:ilvl="4" w:tplc="D1F88E2C">
      <w:numFmt w:val="decimal"/>
      <w:lvlText w:val=""/>
      <w:lvlJc w:val="left"/>
    </w:lvl>
    <w:lvl w:ilvl="5" w:tplc="A764502C">
      <w:numFmt w:val="decimal"/>
      <w:lvlText w:val=""/>
      <w:lvlJc w:val="left"/>
    </w:lvl>
    <w:lvl w:ilvl="6" w:tplc="14520CBC">
      <w:numFmt w:val="decimal"/>
      <w:lvlText w:val=""/>
      <w:lvlJc w:val="left"/>
    </w:lvl>
    <w:lvl w:ilvl="7" w:tplc="0A52597A">
      <w:numFmt w:val="decimal"/>
      <w:lvlText w:val=""/>
      <w:lvlJc w:val="left"/>
    </w:lvl>
    <w:lvl w:ilvl="8" w:tplc="0E1A5E82">
      <w:numFmt w:val="decimal"/>
      <w:lvlText w:val=""/>
      <w:lvlJc w:val="left"/>
    </w:lvl>
  </w:abstractNum>
  <w:abstractNum w:abstractNumId="7">
    <w:nsid w:val="00006E5D"/>
    <w:multiLevelType w:val="hybridMultilevel"/>
    <w:tmpl w:val="91E4698C"/>
    <w:lvl w:ilvl="0" w:tplc="B70AA82C">
      <w:start w:val="1"/>
      <w:numFmt w:val="bullet"/>
      <w:lvlText w:val=""/>
      <w:lvlJc w:val="left"/>
    </w:lvl>
    <w:lvl w:ilvl="1" w:tplc="0C6AC144">
      <w:numFmt w:val="decimal"/>
      <w:lvlText w:val=""/>
      <w:lvlJc w:val="left"/>
    </w:lvl>
    <w:lvl w:ilvl="2" w:tplc="D5A6F854">
      <w:numFmt w:val="decimal"/>
      <w:lvlText w:val=""/>
      <w:lvlJc w:val="left"/>
    </w:lvl>
    <w:lvl w:ilvl="3" w:tplc="65F0012A">
      <w:numFmt w:val="decimal"/>
      <w:lvlText w:val=""/>
      <w:lvlJc w:val="left"/>
    </w:lvl>
    <w:lvl w:ilvl="4" w:tplc="FF32CCB6">
      <w:numFmt w:val="decimal"/>
      <w:lvlText w:val=""/>
      <w:lvlJc w:val="left"/>
    </w:lvl>
    <w:lvl w:ilvl="5" w:tplc="1D8288BE">
      <w:numFmt w:val="decimal"/>
      <w:lvlText w:val=""/>
      <w:lvlJc w:val="left"/>
    </w:lvl>
    <w:lvl w:ilvl="6" w:tplc="6ECABA6C">
      <w:numFmt w:val="decimal"/>
      <w:lvlText w:val=""/>
      <w:lvlJc w:val="left"/>
    </w:lvl>
    <w:lvl w:ilvl="7" w:tplc="36E6A514">
      <w:numFmt w:val="decimal"/>
      <w:lvlText w:val=""/>
      <w:lvlJc w:val="left"/>
    </w:lvl>
    <w:lvl w:ilvl="8" w:tplc="6BAAD6B4">
      <w:numFmt w:val="decimal"/>
      <w:lvlText w:val=""/>
      <w:lvlJc w:val="left"/>
    </w:lvl>
  </w:abstractNum>
  <w:abstractNum w:abstractNumId="8">
    <w:nsid w:val="0000767D"/>
    <w:multiLevelType w:val="hybridMultilevel"/>
    <w:tmpl w:val="F15E5BC8"/>
    <w:lvl w:ilvl="0" w:tplc="5A004BAE">
      <w:start w:val="1"/>
      <w:numFmt w:val="bullet"/>
      <w:lvlText w:val=""/>
      <w:lvlJc w:val="left"/>
    </w:lvl>
    <w:lvl w:ilvl="1" w:tplc="BA26DFF6">
      <w:numFmt w:val="decimal"/>
      <w:lvlText w:val=""/>
      <w:lvlJc w:val="left"/>
    </w:lvl>
    <w:lvl w:ilvl="2" w:tplc="9856A8C4">
      <w:numFmt w:val="decimal"/>
      <w:lvlText w:val=""/>
      <w:lvlJc w:val="left"/>
    </w:lvl>
    <w:lvl w:ilvl="3" w:tplc="D130B8E2">
      <w:numFmt w:val="decimal"/>
      <w:lvlText w:val=""/>
      <w:lvlJc w:val="left"/>
    </w:lvl>
    <w:lvl w:ilvl="4" w:tplc="57445018">
      <w:numFmt w:val="decimal"/>
      <w:lvlText w:val=""/>
      <w:lvlJc w:val="left"/>
    </w:lvl>
    <w:lvl w:ilvl="5" w:tplc="26B0B45C">
      <w:numFmt w:val="decimal"/>
      <w:lvlText w:val=""/>
      <w:lvlJc w:val="left"/>
    </w:lvl>
    <w:lvl w:ilvl="6" w:tplc="C36A6284">
      <w:numFmt w:val="decimal"/>
      <w:lvlText w:val=""/>
      <w:lvlJc w:val="left"/>
    </w:lvl>
    <w:lvl w:ilvl="7" w:tplc="D4623B86">
      <w:numFmt w:val="decimal"/>
      <w:lvlText w:val=""/>
      <w:lvlJc w:val="left"/>
    </w:lvl>
    <w:lvl w:ilvl="8" w:tplc="075E2562">
      <w:numFmt w:val="decimal"/>
      <w:lvlText w:val=""/>
      <w:lvlJc w:val="left"/>
    </w:lvl>
  </w:abstractNum>
  <w:abstractNum w:abstractNumId="9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1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D7706"/>
    <w:multiLevelType w:val="hybridMultilevel"/>
    <w:tmpl w:val="DE0A9F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6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C21BA6"/>
    <w:multiLevelType w:val="multilevel"/>
    <w:tmpl w:val="A6D029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0"/>
  </w:num>
  <w:num w:numId="5">
    <w:abstractNumId w:val="11"/>
  </w:num>
  <w:num w:numId="6">
    <w:abstractNumId w:val="16"/>
  </w:num>
  <w:num w:numId="7">
    <w:abstractNumId w:val="9"/>
  </w:num>
  <w:num w:numId="8">
    <w:abstractNumId w:val="4"/>
  </w:num>
  <w:num w:numId="9">
    <w:abstractNumId w:val="1"/>
  </w:num>
  <w:num w:numId="10">
    <w:abstractNumId w:val="14"/>
  </w:num>
  <w:num w:numId="11">
    <w:abstractNumId w:val="8"/>
  </w:num>
  <w:num w:numId="12">
    <w:abstractNumId w:val="6"/>
  </w:num>
  <w:num w:numId="13">
    <w:abstractNumId w:val="2"/>
  </w:num>
  <w:num w:numId="14">
    <w:abstractNumId w:val="5"/>
  </w:num>
  <w:num w:numId="15">
    <w:abstractNumId w:val="3"/>
  </w:num>
  <w:num w:numId="16">
    <w:abstractNumId w:val="7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26"/>
    <w:rsid w:val="00035082"/>
    <w:rsid w:val="00043612"/>
    <w:rsid w:val="00046DDD"/>
    <w:rsid w:val="000F30FE"/>
    <w:rsid w:val="001337B7"/>
    <w:rsid w:val="001B6E8D"/>
    <w:rsid w:val="001F4F94"/>
    <w:rsid w:val="00241053"/>
    <w:rsid w:val="0027464C"/>
    <w:rsid w:val="00291AC6"/>
    <w:rsid w:val="002B0576"/>
    <w:rsid w:val="003B589E"/>
    <w:rsid w:val="003E01CE"/>
    <w:rsid w:val="003F7CC2"/>
    <w:rsid w:val="0041753C"/>
    <w:rsid w:val="004579B9"/>
    <w:rsid w:val="00480F56"/>
    <w:rsid w:val="00484A9C"/>
    <w:rsid w:val="004B34F6"/>
    <w:rsid w:val="004C5FFB"/>
    <w:rsid w:val="004E7DE9"/>
    <w:rsid w:val="006106F7"/>
    <w:rsid w:val="00694A97"/>
    <w:rsid w:val="006E539D"/>
    <w:rsid w:val="0070691E"/>
    <w:rsid w:val="0072226D"/>
    <w:rsid w:val="007409B5"/>
    <w:rsid w:val="00745F2E"/>
    <w:rsid w:val="00752AD4"/>
    <w:rsid w:val="007947A0"/>
    <w:rsid w:val="007A76F8"/>
    <w:rsid w:val="007D1D5B"/>
    <w:rsid w:val="008028E7"/>
    <w:rsid w:val="008403B4"/>
    <w:rsid w:val="00885F6D"/>
    <w:rsid w:val="00890661"/>
    <w:rsid w:val="008C2A79"/>
    <w:rsid w:val="008F0EC5"/>
    <w:rsid w:val="00902FF7"/>
    <w:rsid w:val="00962771"/>
    <w:rsid w:val="00976D62"/>
    <w:rsid w:val="009E3C05"/>
    <w:rsid w:val="009F2972"/>
    <w:rsid w:val="00A13430"/>
    <w:rsid w:val="00B337EF"/>
    <w:rsid w:val="00B45768"/>
    <w:rsid w:val="00B83F68"/>
    <w:rsid w:val="00BC1D29"/>
    <w:rsid w:val="00CC6555"/>
    <w:rsid w:val="00D55BAD"/>
    <w:rsid w:val="00D67745"/>
    <w:rsid w:val="00D826E1"/>
    <w:rsid w:val="00E12F26"/>
    <w:rsid w:val="00E14A13"/>
    <w:rsid w:val="00E253B5"/>
    <w:rsid w:val="00E72174"/>
    <w:rsid w:val="00E94C05"/>
    <w:rsid w:val="00EB24B4"/>
    <w:rsid w:val="00EE22BE"/>
    <w:rsid w:val="00F56B1C"/>
    <w:rsid w:val="00F74EF5"/>
    <w:rsid w:val="00F93183"/>
    <w:rsid w:val="00FB5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37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1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4A97"/>
  </w:style>
  <w:style w:type="paragraph" w:styleId="ab">
    <w:name w:val="footer"/>
    <w:basedOn w:val="a"/>
    <w:link w:val="ac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4A97"/>
  </w:style>
  <w:style w:type="paragraph" w:customStyle="1" w:styleId="ad">
    <w:name w:val="Прижатый влево"/>
    <w:basedOn w:val="a"/>
    <w:next w:val="a"/>
    <w:uiPriority w:val="99"/>
    <w:rsid w:val="00706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footnote text"/>
    <w:basedOn w:val="a"/>
    <w:link w:val="af"/>
    <w:uiPriority w:val="99"/>
    <w:rsid w:val="00752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52AD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rsid w:val="00752AD4"/>
    <w:rPr>
      <w:rFonts w:cs="Times New Roman"/>
      <w:vertAlign w:val="superscript"/>
    </w:rPr>
  </w:style>
  <w:style w:type="character" w:styleId="af1">
    <w:name w:val="Emphasis"/>
    <w:uiPriority w:val="20"/>
    <w:qFormat/>
    <w:rsid w:val="00752AD4"/>
    <w:rPr>
      <w:rFonts w:cs="Times New Roman"/>
      <w:i/>
    </w:rPr>
  </w:style>
  <w:style w:type="paragraph" w:customStyle="1" w:styleId="Style1">
    <w:name w:val="Style1"/>
    <w:basedOn w:val="a"/>
    <w:uiPriority w:val="99"/>
    <w:rsid w:val="001337B7"/>
    <w:pPr>
      <w:widowControl w:val="0"/>
      <w:autoSpaceDE w:val="0"/>
      <w:autoSpaceDN w:val="0"/>
      <w:adjustRightInd w:val="0"/>
      <w:spacing w:after="0" w:line="275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337B7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basedOn w:val="a0"/>
    <w:rsid w:val="001337B7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133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3">
    <w:name w:val="Style3"/>
    <w:basedOn w:val="a"/>
    <w:uiPriority w:val="99"/>
    <w:rsid w:val="001337B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337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1337B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1337B7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1337B7"/>
    <w:pPr>
      <w:widowControl w:val="0"/>
      <w:autoSpaceDE w:val="0"/>
      <w:autoSpaceDN w:val="0"/>
      <w:adjustRightInd w:val="0"/>
      <w:spacing w:after="0" w:line="235" w:lineRule="exact"/>
      <w:ind w:firstLine="13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uiPriority w:val="99"/>
    <w:rsid w:val="001337B7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1337B7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FontStyle57">
    <w:name w:val="Font Style57"/>
    <w:basedOn w:val="a0"/>
    <w:uiPriority w:val="99"/>
    <w:rsid w:val="001337B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8">
    <w:name w:val="Font Style58"/>
    <w:basedOn w:val="a0"/>
    <w:uiPriority w:val="99"/>
    <w:rsid w:val="001337B7"/>
    <w:rPr>
      <w:rFonts w:ascii="Times New Roman" w:hAnsi="Times New Roman" w:cs="Times New Roman"/>
      <w:sz w:val="22"/>
      <w:szCs w:val="22"/>
    </w:rPr>
  </w:style>
  <w:style w:type="character" w:customStyle="1" w:styleId="FontStyle59">
    <w:name w:val="Font Style59"/>
    <w:basedOn w:val="a0"/>
    <w:uiPriority w:val="99"/>
    <w:rsid w:val="001337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1">
    <w:name w:val="Font Style61"/>
    <w:basedOn w:val="a0"/>
    <w:uiPriority w:val="99"/>
    <w:rsid w:val="001337B7"/>
    <w:rPr>
      <w:rFonts w:ascii="Times New Roman" w:hAnsi="Times New Roman" w:cs="Times New Roman"/>
      <w:b/>
      <w:bCs/>
      <w:sz w:val="26"/>
      <w:szCs w:val="26"/>
    </w:rPr>
  </w:style>
  <w:style w:type="paragraph" w:customStyle="1" w:styleId="210">
    <w:name w:val="Список 21"/>
    <w:basedOn w:val="a"/>
    <w:rsid w:val="003B589E"/>
    <w:pPr>
      <w:suppressAutoHyphens/>
      <w:ind w:left="566" w:hanging="283"/>
    </w:pPr>
    <w:rPr>
      <w:rFonts w:ascii="Arial" w:eastAsia="Times New Roman" w:hAnsi="Arial" w:cs="Arial"/>
      <w:szCs w:val="28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3B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B5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37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1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4A97"/>
  </w:style>
  <w:style w:type="paragraph" w:styleId="ab">
    <w:name w:val="footer"/>
    <w:basedOn w:val="a"/>
    <w:link w:val="ac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4A97"/>
  </w:style>
  <w:style w:type="paragraph" w:customStyle="1" w:styleId="ad">
    <w:name w:val="Прижатый влево"/>
    <w:basedOn w:val="a"/>
    <w:next w:val="a"/>
    <w:uiPriority w:val="99"/>
    <w:rsid w:val="00706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footnote text"/>
    <w:basedOn w:val="a"/>
    <w:link w:val="af"/>
    <w:uiPriority w:val="99"/>
    <w:rsid w:val="00752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52AD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rsid w:val="00752AD4"/>
    <w:rPr>
      <w:rFonts w:cs="Times New Roman"/>
      <w:vertAlign w:val="superscript"/>
    </w:rPr>
  </w:style>
  <w:style w:type="character" w:styleId="af1">
    <w:name w:val="Emphasis"/>
    <w:uiPriority w:val="20"/>
    <w:qFormat/>
    <w:rsid w:val="00752AD4"/>
    <w:rPr>
      <w:rFonts w:cs="Times New Roman"/>
      <w:i/>
    </w:rPr>
  </w:style>
  <w:style w:type="paragraph" w:customStyle="1" w:styleId="Style1">
    <w:name w:val="Style1"/>
    <w:basedOn w:val="a"/>
    <w:uiPriority w:val="99"/>
    <w:rsid w:val="001337B7"/>
    <w:pPr>
      <w:widowControl w:val="0"/>
      <w:autoSpaceDE w:val="0"/>
      <w:autoSpaceDN w:val="0"/>
      <w:adjustRightInd w:val="0"/>
      <w:spacing w:after="0" w:line="275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337B7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basedOn w:val="a0"/>
    <w:rsid w:val="001337B7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133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3">
    <w:name w:val="Style3"/>
    <w:basedOn w:val="a"/>
    <w:uiPriority w:val="99"/>
    <w:rsid w:val="001337B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337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1337B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1337B7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1337B7"/>
    <w:pPr>
      <w:widowControl w:val="0"/>
      <w:autoSpaceDE w:val="0"/>
      <w:autoSpaceDN w:val="0"/>
      <w:adjustRightInd w:val="0"/>
      <w:spacing w:after="0" w:line="235" w:lineRule="exact"/>
      <w:ind w:firstLine="13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uiPriority w:val="99"/>
    <w:rsid w:val="001337B7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1337B7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FontStyle57">
    <w:name w:val="Font Style57"/>
    <w:basedOn w:val="a0"/>
    <w:uiPriority w:val="99"/>
    <w:rsid w:val="001337B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8">
    <w:name w:val="Font Style58"/>
    <w:basedOn w:val="a0"/>
    <w:uiPriority w:val="99"/>
    <w:rsid w:val="001337B7"/>
    <w:rPr>
      <w:rFonts w:ascii="Times New Roman" w:hAnsi="Times New Roman" w:cs="Times New Roman"/>
      <w:sz w:val="22"/>
      <w:szCs w:val="22"/>
    </w:rPr>
  </w:style>
  <w:style w:type="character" w:customStyle="1" w:styleId="FontStyle59">
    <w:name w:val="Font Style59"/>
    <w:basedOn w:val="a0"/>
    <w:uiPriority w:val="99"/>
    <w:rsid w:val="001337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1">
    <w:name w:val="Font Style61"/>
    <w:basedOn w:val="a0"/>
    <w:uiPriority w:val="99"/>
    <w:rsid w:val="001337B7"/>
    <w:rPr>
      <w:rFonts w:ascii="Times New Roman" w:hAnsi="Times New Roman" w:cs="Times New Roman"/>
      <w:b/>
      <w:bCs/>
      <w:sz w:val="26"/>
      <w:szCs w:val="26"/>
    </w:rPr>
  </w:style>
  <w:style w:type="paragraph" w:customStyle="1" w:styleId="210">
    <w:name w:val="Список 21"/>
    <w:basedOn w:val="a"/>
    <w:rsid w:val="003B589E"/>
    <w:pPr>
      <w:suppressAutoHyphens/>
      <w:ind w:left="566" w:hanging="283"/>
    </w:pPr>
    <w:rPr>
      <w:rFonts w:ascii="Arial" w:eastAsia="Times New Roman" w:hAnsi="Arial" w:cs="Arial"/>
      <w:szCs w:val="28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3B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B5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admin</cp:lastModifiedBy>
  <cp:revision>2</cp:revision>
  <cp:lastPrinted>2022-06-08T19:39:00Z</cp:lastPrinted>
  <dcterms:created xsi:type="dcterms:W3CDTF">2023-07-10T19:13:00Z</dcterms:created>
  <dcterms:modified xsi:type="dcterms:W3CDTF">2023-07-10T19:13:00Z</dcterms:modified>
</cp:coreProperties>
</file>