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E0A" w:rsidRDefault="000A0E0A" w:rsidP="000A0E0A">
      <w:pPr>
        <w:spacing w:after="0" w:line="240" w:lineRule="auto"/>
        <w:ind w:right="102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Аннотация</w:t>
      </w:r>
    </w:p>
    <w:p w:rsidR="000A0E0A" w:rsidRDefault="000A0E0A" w:rsidP="000A0E0A">
      <w:pPr>
        <w:spacing w:after="0" w:line="240" w:lineRule="auto"/>
        <w:ind w:right="102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к рабочей программе дисциплины</w:t>
      </w:r>
    </w:p>
    <w:p w:rsidR="000A0E0A" w:rsidRDefault="000A0E0A" w:rsidP="000A0E0A">
      <w:pPr>
        <w:spacing w:after="240" w:line="240" w:lineRule="auto"/>
        <w:ind w:right="102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ОП.05 «Аудит»</w:t>
      </w:r>
    </w:p>
    <w:p w:rsidR="004B1E60" w:rsidRDefault="004B1E60" w:rsidP="004B1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4B1E60" w:rsidRPr="00ED6ADB" w:rsidRDefault="004B1E60" w:rsidP="004B1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D6ADB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4B1E60" w:rsidRPr="003643C6" w:rsidRDefault="004B1E60" w:rsidP="004B1E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43C6">
        <w:rPr>
          <w:rFonts w:ascii="Times New Roman" w:hAnsi="Times New Roman"/>
          <w:sz w:val="24"/>
          <w:szCs w:val="24"/>
        </w:rPr>
        <w:t>Учебная дисциплина «ОП.05 Аудит» является обязательной частью профессионального цикла примерной основной образовательной программы в соответствии с ФГОС СПО по специальности 38.02.01 Экономика и бухгалтерский учет (по отраслям).</w:t>
      </w:r>
    </w:p>
    <w:p w:rsidR="004B1E60" w:rsidRPr="00AF4D9C" w:rsidRDefault="004B1E60" w:rsidP="004B1E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643C6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01, ОК 02, ОК 03, ОК 04, ОК 05, ОК 06, ОК 09, ОК 10</w:t>
      </w:r>
      <w:r>
        <w:rPr>
          <w:rFonts w:ascii="Times New Roman" w:hAnsi="Times New Roman"/>
          <w:sz w:val="24"/>
          <w:szCs w:val="24"/>
        </w:rPr>
        <w:t>,</w:t>
      </w:r>
      <w:r w:rsidRPr="004011C4">
        <w:rPr>
          <w:rFonts w:ascii="Times New Roman" w:hAnsi="Times New Roman"/>
          <w:sz w:val="24"/>
          <w:szCs w:val="24"/>
        </w:rPr>
        <w:t xml:space="preserve"> </w:t>
      </w:r>
      <w:r w:rsidRPr="007E54F8">
        <w:rPr>
          <w:rFonts w:ascii="Times New Roman" w:hAnsi="Times New Roman"/>
          <w:sz w:val="24"/>
          <w:szCs w:val="24"/>
        </w:rPr>
        <w:t>ПК 1.1, ПК 1.2, ПК 1.3, ПК 1.4,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54F8">
        <w:rPr>
          <w:rFonts w:ascii="Times New Roman" w:hAnsi="Times New Roman"/>
          <w:sz w:val="24"/>
          <w:szCs w:val="24"/>
        </w:rPr>
        <w:t>ПК 2.1, ПК 2.4, ПК 2.5, ПК 2.6, ПК 2.7,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54F8">
        <w:rPr>
          <w:rFonts w:ascii="Times New Roman" w:hAnsi="Times New Roman"/>
          <w:sz w:val="24"/>
          <w:szCs w:val="24"/>
        </w:rPr>
        <w:t>ПК 3.1, ПК 3.2, ПК 3.3, ПК 3.4,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54F8">
        <w:rPr>
          <w:rFonts w:ascii="Times New Roman" w:hAnsi="Times New Roman"/>
          <w:sz w:val="24"/>
          <w:szCs w:val="24"/>
        </w:rPr>
        <w:t>ПК 4.1, ПК 4.2, ПК 4.3, ПК 4.4, ПК 4.6, ПК 4.7</w:t>
      </w:r>
      <w:proofErr w:type="gramStart"/>
      <w:r>
        <w:rPr>
          <w:rFonts w:ascii="Times New Roman" w:hAnsi="Times New Roman"/>
          <w:sz w:val="24"/>
          <w:szCs w:val="24"/>
        </w:rPr>
        <w:t xml:space="preserve">, </w:t>
      </w:r>
      <w:r w:rsidRPr="004011C4">
        <w:rPr>
          <w:rFonts w:ascii="Times New Roman" w:hAnsi="Times New Roman"/>
          <w:sz w:val="24"/>
          <w:szCs w:val="24"/>
        </w:rPr>
        <w:t>.</w:t>
      </w:r>
      <w:proofErr w:type="gramEnd"/>
      <w:r w:rsidRPr="00AF4D9C">
        <w:t xml:space="preserve"> </w:t>
      </w:r>
      <w:r w:rsidRPr="00AF4D9C">
        <w:rPr>
          <w:rFonts w:ascii="Times New Roman" w:hAnsi="Times New Roman"/>
          <w:sz w:val="24"/>
          <w:szCs w:val="24"/>
        </w:rPr>
        <w:t>ЛР 1 – ЛР 21.</w:t>
      </w:r>
    </w:p>
    <w:p w:rsidR="004B1E60" w:rsidRPr="00ED6ADB" w:rsidRDefault="004B1E60" w:rsidP="004B1E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B1E60" w:rsidRPr="003643C6" w:rsidRDefault="004B1E60" w:rsidP="004B1E60">
      <w:pPr>
        <w:pStyle w:val="a5"/>
        <w:ind w:left="0" w:firstLine="709"/>
        <w:rPr>
          <w:b/>
          <w:sz w:val="24"/>
          <w:szCs w:val="24"/>
        </w:rPr>
      </w:pPr>
      <w:r w:rsidRPr="003643C6">
        <w:rPr>
          <w:b/>
          <w:sz w:val="24"/>
          <w:szCs w:val="24"/>
        </w:rPr>
        <w:t>1.2. Цели и планируемые результаты освоения дисциплины</w:t>
      </w:r>
    </w:p>
    <w:p w:rsidR="004B1E60" w:rsidRPr="006104D6" w:rsidRDefault="004B1E60" w:rsidP="004B1E60">
      <w:pPr>
        <w:pStyle w:val="a5"/>
        <w:ind w:left="0" w:firstLine="709"/>
        <w:jc w:val="both"/>
        <w:rPr>
          <w:color w:val="000000"/>
          <w:sz w:val="24"/>
          <w:szCs w:val="24"/>
        </w:rPr>
      </w:pPr>
      <w:r w:rsidRPr="006104D6">
        <w:rPr>
          <w:sz w:val="24"/>
          <w:szCs w:val="24"/>
        </w:rPr>
        <w:t>В рамках программы учебной дисциплины обучающимися осваиваются следующие умения и знания.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3863"/>
        <w:gridCol w:w="3914"/>
      </w:tblGrid>
      <w:tr w:rsidR="004B1E60" w:rsidRPr="00AF4D9C" w:rsidTr="0013583E">
        <w:trPr>
          <w:trHeight w:val="649"/>
          <w:tblCellSpacing w:w="0" w:type="dxa"/>
        </w:trPr>
        <w:tc>
          <w:tcPr>
            <w:tcW w:w="18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1E60" w:rsidRPr="00AF4D9C" w:rsidRDefault="004B1E60" w:rsidP="0013583E">
            <w:pPr>
              <w:spacing w:after="0" w:line="273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AF4D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  <w:p w:rsidR="004B1E60" w:rsidRPr="00AF4D9C" w:rsidRDefault="004B1E60" w:rsidP="0013583E">
            <w:pP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ПК, ОК, ЛР</w:t>
            </w: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4B1E60" w:rsidRPr="00AF4D9C" w:rsidRDefault="004B1E60" w:rsidP="0013583E">
            <w:pP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B1E60" w:rsidRPr="00AF4D9C" w:rsidRDefault="004B1E60" w:rsidP="0013583E">
            <w:pPr>
              <w:spacing w:after="0" w:line="27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Знания</w:t>
            </w:r>
          </w:p>
        </w:tc>
      </w:tr>
      <w:tr w:rsidR="004B1E60" w:rsidRPr="00AF4D9C" w:rsidTr="0013583E">
        <w:trPr>
          <w:trHeight w:val="212"/>
          <w:tblCellSpacing w:w="0" w:type="dxa"/>
        </w:trPr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>ОК 01, ОК 02, ОК 03, ОК 04, ОК 05, ОК 06,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>ОК 09, ОК 10, ПК 1.1, ПК 1.2, ПК 1.3, ПК 1.4,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>ПК 2.1, ПК 2.4, ПК 2.5, ПК 2.6, ПК 2.7,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>ПК 3.1, ПК 3.2, ПК 3.3, ПК 3.4,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>ПК 4.1, ПК 4.2, ПК 4.3, ПК 4.4, ПК 4.6, ПК 4.7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1 - ЛР 21</w:t>
            </w: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>- ориентироваться в нормативном правовом регулировании аудиторской деятельности в Российской Федерации;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>- выполнять задания по проведению аудиторских проверок;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>- выполнять задания по составлению аудиторских заключений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поддерживать деловые и этичные взаимоотношения с представителями </w:t>
            </w:r>
            <w:proofErr w:type="spellStart"/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>аудируемого</w:t>
            </w:r>
            <w:proofErr w:type="spellEnd"/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лица (лица, заключившего договор оказания сопутствующих аудиту или прочих услуг, связанных с аудиторской деятельностью) и с работниками аудиторской организации; 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собирать информацию из различных источников, систематизировать, обобщать и анализировать ее; 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применять на практике методы отбора элементов для проведения аудиторских процедур, </w:t>
            </w: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экстраполировать результаты аудиторской выборки на генеральную совокупность</w:t>
            </w: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основные принципы аудиторской деятельности;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>- нормативно-правовое регулирование аудиторской деятельности в Российской Федерации;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>- внутренние организационно-распорядительные документы аудиторской организации, регламентирующие аудиторскую деятельность в организации;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>- основные процедуры аудиторской проверки;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>- применение информационных технологий при осуществлении аудиторской деятельности;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>- типовые методики проведения аудиторских проверок;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color w:val="000000"/>
                <w:sz w:val="24"/>
                <w:szCs w:val="24"/>
              </w:rPr>
              <w:t>- порядок оценки систем внутреннего и внешнего аудита.</w:t>
            </w:r>
          </w:p>
          <w:p w:rsidR="004B1E60" w:rsidRPr="00AF4D9C" w:rsidRDefault="004B1E60" w:rsidP="0013583E">
            <w:pPr>
              <w:spacing w:after="0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AF4D9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B1E60" w:rsidRPr="00AF4D9C" w:rsidTr="0013583E">
        <w:trPr>
          <w:trHeight w:val="212"/>
          <w:tblCellSpacing w:w="0" w:type="dxa"/>
        </w:trPr>
        <w:tc>
          <w:tcPr>
            <w:tcW w:w="18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1E60" w:rsidRPr="00C204F9" w:rsidRDefault="004B1E60" w:rsidP="0013583E">
            <w:pPr>
              <w:spacing w:after="0" w:line="273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spellStart"/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вариатив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  <w:vAlign w:val="center"/>
          </w:tcPr>
          <w:p w:rsidR="004B1E60" w:rsidRPr="00C204F9" w:rsidRDefault="004B1E60" w:rsidP="0013583E">
            <w:pPr>
              <w:spacing w:after="0" w:line="273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 выполнять работы по проведению аудиторских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проверок;</w:t>
            </w:r>
          </w:p>
          <w:p w:rsidR="004B1E60" w:rsidRPr="00C204F9" w:rsidRDefault="004B1E60" w:rsidP="0013583E">
            <w:pPr>
              <w:spacing w:after="0" w:line="273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 выполнять работы по составлению аудиторских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заключений;</w:t>
            </w:r>
          </w:p>
          <w:p w:rsidR="004B1E60" w:rsidRPr="00C204F9" w:rsidRDefault="004B1E60" w:rsidP="0013583E">
            <w:pPr>
              <w:spacing w:after="0" w:line="273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 обеспечивать режим конфиденциальности при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оказании аудиторских услуг;</w:t>
            </w:r>
          </w:p>
          <w:p w:rsidR="004B1E60" w:rsidRPr="00C204F9" w:rsidRDefault="004B1E60" w:rsidP="0013583E">
            <w:pPr>
              <w:spacing w:after="0" w:line="273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 оценивать и анализировать полученные результаты с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целью принятия обоснованных управленческих решений,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направленных на повышение эффективности системы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внутреннего контроля и системы бухгалтерского учета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аудируемого</w:t>
            </w:r>
            <w:proofErr w:type="spellEnd"/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экономического субъекта.</w:t>
            </w: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1E60" w:rsidRPr="00C204F9" w:rsidRDefault="004B1E60" w:rsidP="0013583E">
            <w:pPr>
              <w:spacing w:after="0" w:line="273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 методы оценки системы организации внутреннего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контроля;</w:t>
            </w:r>
          </w:p>
          <w:p w:rsidR="004B1E60" w:rsidRPr="00C204F9" w:rsidRDefault="004B1E60" w:rsidP="0013583E">
            <w:pPr>
              <w:spacing w:after="0" w:line="273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 классификацию типичных ошибок;</w:t>
            </w:r>
          </w:p>
          <w:p w:rsidR="004B1E60" w:rsidRPr="00C204F9" w:rsidRDefault="004B1E60" w:rsidP="0013583E">
            <w:pPr>
              <w:spacing w:after="0" w:line="273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 методы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оценки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соответствия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производимых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хозяйственных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операций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эффективности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использования активов правовой и нормативной базе;</w:t>
            </w:r>
          </w:p>
          <w:p w:rsidR="004B1E60" w:rsidRPr="00C204F9" w:rsidRDefault="004B1E60" w:rsidP="0013583E">
            <w:pPr>
              <w:spacing w:after="0" w:line="273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 методы регулирования правовых взаимоотношений с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коллегами-аудиторами, с руководством </w:t>
            </w:r>
            <w:proofErr w:type="spellStart"/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аудируемого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экономического субъекта на различных стадиях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аудиторской проверки;</w:t>
            </w:r>
          </w:p>
          <w:p w:rsidR="004B1E60" w:rsidRPr="00C204F9" w:rsidRDefault="004B1E60" w:rsidP="0013583E">
            <w:pPr>
              <w:spacing w:after="0" w:line="273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 методы оценки и анализа результатов, направленных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 повышение эффективности системы внутреннего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контроля и системы бухгалтерского учета </w:t>
            </w:r>
            <w:proofErr w:type="spellStart"/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аудируемого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204F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экономического субъекта.</w:t>
            </w:r>
          </w:p>
        </w:tc>
      </w:tr>
    </w:tbl>
    <w:p w:rsidR="004B1E60" w:rsidRDefault="004B1E60" w:rsidP="004B1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4B1E60" w:rsidRPr="00256130" w:rsidRDefault="004B1E60" w:rsidP="004B1E60">
      <w:pPr>
        <w:spacing w:after="0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4B1E60" w:rsidRPr="005F0329" w:rsidRDefault="004B1E60" w:rsidP="004B1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bookmarkStart w:id="0" w:name="_GoBack"/>
      <w:bookmarkEnd w:id="0"/>
      <w:r w:rsidRPr="005F0329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4B1E60" w:rsidRPr="005F0329" w:rsidRDefault="004B1E60" w:rsidP="004B1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1771"/>
        <w:gridCol w:w="1772"/>
      </w:tblGrid>
      <w:tr w:rsidR="004B1E60" w:rsidRPr="0052223F" w:rsidTr="0013583E">
        <w:trPr>
          <w:trHeight w:val="460"/>
        </w:trPr>
        <w:tc>
          <w:tcPr>
            <w:tcW w:w="6204" w:type="dxa"/>
            <w:shd w:val="clear" w:color="auto" w:fill="auto"/>
            <w:vAlign w:val="center"/>
          </w:tcPr>
          <w:p w:rsidR="004B1E60" w:rsidRPr="0052223F" w:rsidRDefault="004B1E60" w:rsidP="00135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23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B1E60" w:rsidRPr="0052223F" w:rsidRDefault="004B1E60" w:rsidP="0013583E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222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  <w:tc>
          <w:tcPr>
            <w:tcW w:w="1772" w:type="dxa"/>
            <w:vAlign w:val="center"/>
          </w:tcPr>
          <w:p w:rsidR="004B1E60" w:rsidRPr="0052223F" w:rsidRDefault="004B1E60" w:rsidP="0013583E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4B1E60" w:rsidRPr="0052223F" w:rsidTr="0013583E">
        <w:trPr>
          <w:trHeight w:val="285"/>
        </w:trPr>
        <w:tc>
          <w:tcPr>
            <w:tcW w:w="6204" w:type="dxa"/>
            <w:shd w:val="clear" w:color="auto" w:fill="auto"/>
          </w:tcPr>
          <w:p w:rsidR="004B1E60" w:rsidRPr="0052223F" w:rsidRDefault="004B1E60" w:rsidP="0013583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223F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B1E60" w:rsidRPr="0052223F" w:rsidRDefault="004B1E60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70</w:t>
            </w:r>
          </w:p>
        </w:tc>
        <w:tc>
          <w:tcPr>
            <w:tcW w:w="1772" w:type="dxa"/>
            <w:vAlign w:val="center"/>
          </w:tcPr>
          <w:p w:rsidR="004B1E60" w:rsidRDefault="004B1E60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38</w:t>
            </w:r>
          </w:p>
        </w:tc>
      </w:tr>
      <w:tr w:rsidR="004B1E60" w:rsidRPr="0052223F" w:rsidTr="0013583E">
        <w:tc>
          <w:tcPr>
            <w:tcW w:w="6204" w:type="dxa"/>
            <w:shd w:val="clear" w:color="auto" w:fill="auto"/>
          </w:tcPr>
          <w:p w:rsidR="004B1E60" w:rsidRPr="0052223F" w:rsidRDefault="004B1E60" w:rsidP="00135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23F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B1E60" w:rsidRPr="0052223F" w:rsidRDefault="004B1E60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58</w:t>
            </w:r>
          </w:p>
        </w:tc>
        <w:tc>
          <w:tcPr>
            <w:tcW w:w="1772" w:type="dxa"/>
            <w:vAlign w:val="center"/>
          </w:tcPr>
          <w:p w:rsidR="004B1E60" w:rsidRDefault="004B1E60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</w:tr>
      <w:tr w:rsidR="004B1E60" w:rsidRPr="0052223F" w:rsidTr="0013583E">
        <w:tc>
          <w:tcPr>
            <w:tcW w:w="6204" w:type="dxa"/>
            <w:shd w:val="clear" w:color="auto" w:fill="auto"/>
          </w:tcPr>
          <w:p w:rsidR="004B1E60" w:rsidRPr="0052223F" w:rsidRDefault="004B1E60" w:rsidP="00135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B1E60" w:rsidRPr="0052223F" w:rsidRDefault="004B1E60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1772" w:type="dxa"/>
            <w:vAlign w:val="center"/>
          </w:tcPr>
          <w:p w:rsidR="004B1E60" w:rsidRPr="0052223F" w:rsidRDefault="004B1E60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6</w:t>
            </w:r>
          </w:p>
        </w:tc>
      </w:tr>
      <w:tr w:rsidR="004B1E60" w:rsidRPr="0052223F" w:rsidTr="0013583E">
        <w:tc>
          <w:tcPr>
            <w:tcW w:w="6204" w:type="dxa"/>
            <w:shd w:val="clear" w:color="auto" w:fill="auto"/>
          </w:tcPr>
          <w:p w:rsidR="004B1E60" w:rsidRPr="0052223F" w:rsidRDefault="004B1E60" w:rsidP="00135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2223F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B1E60" w:rsidRPr="0052223F" w:rsidRDefault="004B1E60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1772" w:type="dxa"/>
            <w:vAlign w:val="center"/>
          </w:tcPr>
          <w:p w:rsidR="004B1E60" w:rsidRDefault="004B1E60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28</w:t>
            </w:r>
          </w:p>
        </w:tc>
      </w:tr>
      <w:tr w:rsidR="004B1E60" w:rsidRPr="0052223F" w:rsidTr="0013583E">
        <w:tc>
          <w:tcPr>
            <w:tcW w:w="6204" w:type="dxa"/>
            <w:shd w:val="clear" w:color="auto" w:fill="auto"/>
          </w:tcPr>
          <w:p w:rsidR="004B1E60" w:rsidRPr="0052223F" w:rsidRDefault="004B1E60" w:rsidP="0013583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223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B1E60" w:rsidRPr="0052223F" w:rsidRDefault="004B1E60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772" w:type="dxa"/>
            <w:vAlign w:val="center"/>
          </w:tcPr>
          <w:p w:rsidR="004B1E60" w:rsidRDefault="004B1E60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4</w:t>
            </w:r>
          </w:p>
        </w:tc>
      </w:tr>
      <w:tr w:rsidR="004B1E60" w:rsidRPr="0052223F" w:rsidTr="0013583E">
        <w:tc>
          <w:tcPr>
            <w:tcW w:w="6204" w:type="dxa"/>
            <w:shd w:val="clear" w:color="auto" w:fill="auto"/>
          </w:tcPr>
          <w:p w:rsidR="004B1E60" w:rsidRPr="0052223F" w:rsidRDefault="004B1E60" w:rsidP="0013583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B1E60" w:rsidRDefault="004B1E60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772" w:type="dxa"/>
            <w:vAlign w:val="center"/>
          </w:tcPr>
          <w:p w:rsidR="004B1E60" w:rsidRDefault="004B1E60" w:rsidP="0013583E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</w:tr>
      <w:tr w:rsidR="004B1E60" w:rsidRPr="0052223F" w:rsidTr="0013583E">
        <w:tc>
          <w:tcPr>
            <w:tcW w:w="6204" w:type="dxa"/>
            <w:shd w:val="clear" w:color="auto" w:fill="auto"/>
          </w:tcPr>
          <w:p w:rsidR="004B1E60" w:rsidRPr="00F558A8" w:rsidRDefault="004B1E60" w:rsidP="0013583E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558A8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 в форме экзамена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B1E60" w:rsidRPr="00443587" w:rsidRDefault="004B1E60" w:rsidP="0013583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1772" w:type="dxa"/>
            <w:vAlign w:val="center"/>
          </w:tcPr>
          <w:p w:rsidR="004B1E60" w:rsidRDefault="004B1E60" w:rsidP="0013583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:rsidR="004B1E60" w:rsidRDefault="004B1E60" w:rsidP="004B1E60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12492" w:rsidRDefault="004B1E60"/>
    <w:sectPr w:rsidR="00E12492" w:rsidSect="00EF1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474534A"/>
    <w:lvl w:ilvl="0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1E8A51B9"/>
    <w:multiLevelType w:val="hybridMultilevel"/>
    <w:tmpl w:val="BA248BFE"/>
    <w:lvl w:ilvl="0" w:tplc="6A385552">
      <w:start w:val="1"/>
      <w:numFmt w:val="bullet"/>
      <w:lvlText w:val="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" w15:restartNumberingAfterBreak="0">
    <w:nsid w:val="50DC6048"/>
    <w:multiLevelType w:val="hybridMultilevel"/>
    <w:tmpl w:val="D49606E4"/>
    <w:lvl w:ilvl="0" w:tplc="34A05132">
      <w:start w:val="1"/>
      <w:numFmt w:val="bullet"/>
      <w:lvlText w:val="─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41020AA"/>
    <w:multiLevelType w:val="singleLevel"/>
    <w:tmpl w:val="A6661CFA"/>
    <w:lvl w:ilvl="0">
      <w:start w:val="1"/>
      <w:numFmt w:val="decimal"/>
      <w:lvlText w:val="%1."/>
      <w:legacy w:legacy="1" w:legacySpace="0" w:legacyIndent="374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4" w15:restartNumberingAfterBreak="0">
    <w:nsid w:val="765E50F7"/>
    <w:multiLevelType w:val="multilevel"/>
    <w:tmpl w:val="248C61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4"/>
      </w:rPr>
    </w:lvl>
    <w:lvl w:ilvl="2">
      <w:start w:val="2"/>
      <w:numFmt w:val="decimal"/>
      <w:isLgl/>
      <w:lvlText w:val="%1.%2.%3."/>
      <w:lvlJc w:val="left"/>
      <w:pPr>
        <w:ind w:left="1440" w:hanging="1080"/>
      </w:pPr>
      <w:rPr>
        <w:rFonts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  <w:color w:val="auto"/>
        <w:sz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6A8C"/>
    <w:rsid w:val="00017F65"/>
    <w:rsid w:val="000A0E0A"/>
    <w:rsid w:val="00216A8C"/>
    <w:rsid w:val="004B1E60"/>
    <w:rsid w:val="006072B7"/>
    <w:rsid w:val="00992A2E"/>
    <w:rsid w:val="00BB2FD1"/>
    <w:rsid w:val="00BD3B87"/>
    <w:rsid w:val="00E24B79"/>
    <w:rsid w:val="00EF1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BCADD"/>
  <w15:docId w15:val="{51B91495-B90B-4B7D-9999-21848159E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E0A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6072B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mprint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072B7"/>
    <w:pPr>
      <w:widowControl w:val="0"/>
      <w:spacing w:after="0" w:line="2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072B7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List Paragraph"/>
    <w:basedOn w:val="a"/>
    <w:uiPriority w:val="34"/>
    <w:qFormat/>
    <w:rsid w:val="006072B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6072B7"/>
    <w:rPr>
      <w:rFonts w:ascii="Times New Roman" w:eastAsia="Times New Roman" w:hAnsi="Times New Roman" w:cs="Times New Roman"/>
      <w:b/>
      <w:bCs/>
      <w:imprint/>
      <w:sz w:val="32"/>
      <w:szCs w:val="24"/>
    </w:rPr>
  </w:style>
  <w:style w:type="paragraph" w:styleId="a6">
    <w:name w:val="No Spacing"/>
    <w:uiPriority w:val="1"/>
    <w:qFormat/>
    <w:rsid w:val="006072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5">
    <w:name w:val="Font Style25"/>
    <w:rsid w:val="006072B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538</Words>
  <Characters>3068</Characters>
  <Application>Microsoft Office Word</Application>
  <DocSecurity>0</DocSecurity>
  <Lines>25</Lines>
  <Paragraphs>7</Paragraphs>
  <ScaleCrop>false</ScaleCrop>
  <Company>Microsoft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фазер</dc:creator>
  <cp:keywords/>
  <dc:description/>
  <cp:lastModifiedBy>RePack by Diakov</cp:lastModifiedBy>
  <cp:revision>7</cp:revision>
  <dcterms:created xsi:type="dcterms:W3CDTF">2019-11-17T16:05:00Z</dcterms:created>
  <dcterms:modified xsi:type="dcterms:W3CDTF">2023-07-03T19:39:00Z</dcterms:modified>
</cp:coreProperties>
</file>